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 -->
  <w:body>
    <w:p w:rsidR="003856B6" w:rsidP="003856B6" w14:paraId="463B7D68" w14:textId="525F7E39">
      <w:pPr>
        <w:rPr>
          <w:szCs w:val="20"/>
        </w:rPr>
      </w:pPr>
      <w:r>
        <w:rPr>
          <w:rFonts w:cs="Arial"/>
          <w:noProof/>
          <w:szCs w:val="20"/>
          <w:lang w:eastAsia="nl-BE"/>
        </w:rPr>
        <w:drawing>
          <wp:inline distT="0" distB="0" distL="0" distR="0">
            <wp:extent cx="1281600" cy="574242"/>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AGBDeinze_Positief_CMYK.jpg"/>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1281600" cy="574242"/>
                    </a:xfrm>
                    <a:prstGeom prst="rect">
                      <a:avLst/>
                    </a:prstGeom>
                  </pic:spPr>
                </pic:pic>
              </a:graphicData>
            </a:graphic>
          </wp:inline>
        </w:drawing>
      </w:r>
    </w:p>
    <w:p w:rsidR="003856B6" w:rsidRPr="001E7636" w:rsidP="003856B6" w14:paraId="7346CD14" w14:textId="29F26268">
      <w:pPr>
        <w:pStyle w:val="Heading1"/>
        <w:rPr>
          <w:rFonts w:ascii="Poppins" w:hAnsi="Poppins" w:cs="Poppins"/>
          <w:sz w:val="24"/>
          <w:szCs w:val="24"/>
        </w:rPr>
      </w:pPr>
      <w:r>
        <w:rPr>
          <w:rFonts w:ascii="Poppins" w:hAnsi="Poppins" w:cs="Poppins"/>
          <w:sz w:val="24"/>
          <w:szCs w:val="24"/>
        </w:rPr>
        <w:t>Raad van bestuur</w:t>
      </w:r>
      <w:r w:rsidR="00136D7A">
        <w:rPr>
          <w:rFonts w:ascii="Poppins" w:hAnsi="Poppins" w:cs="Poppins"/>
          <w:sz w:val="24"/>
          <w:szCs w:val="24"/>
        </w:rPr>
        <w:t xml:space="preserve"> AGB stad Deinze</w:t>
      </w:r>
      <w:r w:rsidR="00BB4AC7">
        <w:rPr>
          <w:rFonts w:ascii="Poppins" w:hAnsi="Poppins" w:cs="Poppins"/>
          <w:sz w:val="24"/>
          <w:szCs w:val="24"/>
        </w:rPr>
        <w:t xml:space="preserve"> - </w:t>
      </w:r>
      <w:r w:rsidRPr="009868D6" w:rsidR="00BB4AC7">
        <w:rPr>
          <w:rFonts w:ascii="Poppins" w:hAnsi="Poppins" w:cs="Poppins"/>
          <w:sz w:val="24"/>
          <w:szCs w:val="24"/>
        </w:rPr>
        <w:t>besloten</w:t>
      </w:r>
      <w:r w:rsidRPr="002043A5" w:rsidR="00BB4AC7">
        <w:rPr>
          <w:rFonts w:ascii="Poppins" w:hAnsi="Poppins" w:cs="Poppins"/>
          <w:sz w:val="24"/>
          <w:szCs w:val="24"/>
        </w:rPr>
        <w:t xml:space="preserve"> zitting</w:t>
      </w:r>
    </w:p>
    <w:p w:rsidR="003856B6" w:rsidRPr="001E7636" w:rsidP="003856B6" w14:paraId="7E367159" w14:textId="77777777">
      <w:pPr>
        <w:pStyle w:val="Heading1"/>
        <w:rPr>
          <w:rFonts w:ascii="Poppins" w:hAnsi="Poppins" w:cs="Poppins"/>
          <w:sz w:val="24"/>
          <w:szCs w:val="24"/>
        </w:rPr>
      </w:pPr>
      <w:r>
        <w:rPr>
          <w:rFonts w:ascii="Poppins" w:hAnsi="Poppins" w:cs="Poppins"/>
          <w:sz w:val="24"/>
          <w:szCs w:val="24"/>
        </w:rPr>
        <w:t xml:space="preserve">Uittreksel uit het verslag </w:t>
      </w:r>
      <w:r w:rsidRPr="001E7636">
        <w:rPr>
          <w:rFonts w:ascii="Poppins" w:hAnsi="Poppins" w:cs="Poppins"/>
          <w:sz w:val="24"/>
          <w:szCs w:val="24"/>
        </w:rPr>
        <w:t xml:space="preserve">van de vergadering van </w:t>
      </w:r>
      <w:r>
        <w:rPr>
          <w:rFonts w:ascii="Poppins" w:hAnsi="Poppins" w:cs="Poppins"/>
          <w:noProof/>
          <w:sz w:val="24"/>
          <w:szCs w:val="24"/>
        </w:rPr>
        <w:t>14 december 2020</w:t>
      </w:r>
    </w:p>
    <w:p w:rsidR="003856B6" w:rsidP="003856B6" w14:paraId="09A7518E" w14:textId="77777777">
      <w:pPr>
        <w:rPr>
          <w:szCs w:val="20"/>
        </w:rPr>
      </w:pPr>
    </w:p>
    <w:p w:rsidR="003856B6" w:rsidRPr="00E91353" w:rsidP="003856B6" w14:paraId="719FC98D" w14:textId="77777777">
      <w:pPr>
        <w:rPr>
          <w:b/>
          <w:szCs w:val="20"/>
        </w:rPr>
      </w:pPr>
      <w:r>
        <w:rPr>
          <w:b/>
          <w:szCs w:val="20"/>
        </w:rPr>
        <w:t>Zijn aanwezig:</w:t>
      </w:r>
      <w:r>
        <w:rPr>
          <w:b/>
          <w:szCs w:val="20"/>
        </w:rPr>
        <w:br/>
      </w:r>
      <w:r>
        <w:rPr>
          <w:noProof/>
        </w:rPr>
        <w:t>Jan Vermeulen, voorzitter AGB stad Deinze</w:t>
      </w:r>
    </w:p>
    <w:p w:rsidP="003856B6">
      <w:pPr>
        <w:rPr>
          <w:noProof/>
        </w:rPr>
      </w:pPr>
      <w:r>
        <w:rPr>
          <w:noProof/>
        </w:rPr>
        <w:t>Sofie D'hondt, ondervoorzitter</w:t>
      </w:r>
    </w:p>
    <w:p w:rsidP="003856B6">
      <w:pPr>
        <w:rPr>
          <w:noProof/>
        </w:rPr>
      </w:pPr>
      <w:r>
        <w:rPr>
          <w:noProof/>
        </w:rPr>
        <w:t>Alexander Adams, Freija Dhondt, Laurette Dobbelaere, Olaf Evrard, Sofie Landuyt, Hans Martens, Annie Mervillie, Matthias Neirynck, Sabine Vermeulen, Annick Verstraete, leden van de raad van bestuur AGB Stad Deinze</w:t>
      </w:r>
    </w:p>
    <w:p w:rsidP="003856B6">
      <w:pPr>
        <w:rPr>
          <w:noProof/>
        </w:rPr>
      </w:pPr>
      <w:r>
        <w:rPr>
          <w:noProof/>
        </w:rPr>
        <w:t>Bart Van Thuyne, lid van het directiecomité AGB Stad Deinze (niet-stemgerechtigd)</w:t>
      </w:r>
    </w:p>
    <w:p w:rsidP="003856B6">
      <w:pPr>
        <w:rPr>
          <w:noProof/>
        </w:rPr>
      </w:pPr>
      <w:r>
        <w:rPr>
          <w:noProof/>
        </w:rPr>
        <w:t>Stefanie De Vlieger, secretaris AGB Stad Deinze</w:t>
      </w:r>
    </w:p>
    <w:p w:rsidR="003856B6" w:rsidRPr="00E91353" w:rsidP="003856B6" w14:paraId="1A04157E" w14:textId="77777777">
      <w:pPr>
        <w:rPr>
          <w:szCs w:val="20"/>
        </w:rPr>
      </w:pPr>
      <w:r>
        <w:rPr>
          <w:b/>
        </w:rPr>
        <w:t>Zijn verontschuldigd:</w:t>
      </w:r>
      <w:r>
        <w:rPr>
          <w:b/>
        </w:rPr>
        <w:br/>
      </w:r>
      <w:r w:rsidRPr="00E91353">
        <w:rPr>
          <w:noProof/>
        </w:rPr>
        <w:t>Rutger De Reu, Norbert De Mey, leden van het directiecomité AGB Stad Deinze (niet-stemgerechtigd)</w:t>
      </w:r>
    </w:p>
    <w:p w:rsidR="0024441C" w:rsidRPr="00451104" w:rsidP="00FC3E79" w14:paraId="45A19609" w14:textId="77777777">
      <w:pPr>
        <w:pStyle w:val="AgendapuntTitel"/>
        <w:rPr>
          <w:rFonts w:ascii="Poppins" w:hAnsi="Poppins" w:cs="Poppins"/>
          <w:sz w:val="24"/>
          <w:szCs w:val="24"/>
        </w:rPr>
      </w:pPr>
      <w:r w:rsidRPr="00451104" w:rsidR="00160002">
        <w:rPr>
          <w:rFonts w:ascii="Poppins" w:hAnsi="Poppins" w:cs="Poppins"/>
          <w:noProof/>
          <w:sz w:val="24"/>
          <w:szCs w:val="24"/>
        </w:rPr>
        <w:t>Retributiereglement op gidsbeurten in Museum van Deinze en de Leiestreek</w:t>
      </w:r>
    </w:p>
    <w:p w:rsidR="00160002" w:rsidRPr="00FC3E79" w:rsidP="00160002" w14:paraId="6305BFCB" w14:textId="77777777">
      <w:pPr>
        <w:pStyle w:val="Tekstvaklabel"/>
      </w:pPr>
      <w:r>
        <w:rPr>
          <w:noProof/>
        </w:rPr>
        <w:t>Regelgeving</w:t>
      </w:r>
    </w:p>
    <w:p>
      <w:pPr>
        <w:rPr>
          <w:noProof/>
        </w:rPr>
      </w:pPr>
      <w:r>
        <w:rPr>
          <w:noProof/>
        </w:rPr>
        <w:t>De gecoördineerde grondwet van 17 februari 1994, artikel 173.</w:t>
      </w:r>
    </w:p>
    <w:p>
      <w:pPr>
        <w:rPr>
          <w:noProof/>
        </w:rPr>
      </w:pPr>
      <w:r>
        <w:rPr>
          <w:noProof/>
        </w:rPr>
        <w:t>Het decreet van 22 december 2017 over het lokaal bestuur, artikel 235,§1 over de bevoegdheden van de raad van bestuur van het AGB en artikel 240,§4 over de tariefbepaling.</w:t>
      </w:r>
    </w:p>
    <w:p>
      <w:pPr>
        <w:rPr>
          <w:noProof/>
        </w:rPr>
      </w:pPr>
      <w:r>
        <w:rPr>
          <w:noProof/>
        </w:rPr>
        <w:t>Het bestuursdecreet van 7 december 2018.</w:t>
      </w:r>
    </w:p>
    <w:p>
      <w:pPr>
        <w:rPr>
          <w:noProof/>
        </w:rPr>
      </w:pPr>
      <w:r>
        <w:rPr>
          <w:noProof/>
        </w:rPr>
        <w:t>De statuten van het AGB stad Deinze, goedgekeurd door de gemeenteraad in zitting van 20 december 2018 en gewijzigd op 21 september 2020.</w:t>
      </w:r>
    </w:p>
    <w:p w:rsidR="00160002" w:rsidP="003856B6" w14:paraId="6E9BB77E" w14:textId="0630236C">
      <w:pPr>
        <w:pStyle w:val="Tekstvaklabel"/>
        <w:rPr>
          <w:noProof/>
        </w:rPr>
      </w:pPr>
      <w:r w:rsidRPr="003856B6">
        <w:t>Bijlage</w:t>
      </w:r>
    </w:p>
    <w:p w:rsidRPr="003856B6">
      <w:r w:rsidRPr="003856B6">
        <w:t>De beslissing van de raad van bestuur van het AGB stad Deinze van 21 september 2020 waarbij de aangepaste beheersovereenkomst 2019-2024 tussen de stad Deinze en het AGB stad Deinze wordt goedgekeurd.</w:t>
      </w:r>
    </w:p>
    <w:p w:rsidRPr="003856B6">
      <w:r w:rsidRPr="003856B6">
        <w:t>De beheersovereenkomst tussen de stad Deinze en het AGB stad Deinze 2019-2024.</w:t>
      </w:r>
    </w:p>
    <w:p w:rsidRPr="003856B6">
      <w:r w:rsidRPr="003856B6">
        <w:t>De beslissing van het directiecomité van het AGB stad Deinze van 17 december 2019 waarbij de retributie op toegangsgelden voor het Museum van Deinze en de Leiestreek, gidsbeurten en verkoop in de museumwinkel wordt goedgekeurd.</w:t>
      </w:r>
    </w:p>
    <w:p w:rsidRPr="003856B6">
      <w:r w:rsidRPr="003856B6">
        <w:t>De beslissing van het directiecomité van het AGB stad Deinze van 10 november 2020 waarbij principieel werd beslist om een tariefverhoging voor de gidsbeurten door te voeren.</w:t>
      </w:r>
    </w:p>
    <w:p w:rsidR="00160002" w:rsidRPr="00FC3E79" w:rsidP="00160002" w14:paraId="114B1F7C" w14:textId="77777777">
      <w:pPr>
        <w:pStyle w:val="Tekstvaklabel"/>
      </w:pPr>
      <w:r>
        <w:rPr>
          <w:noProof/>
        </w:rPr>
        <w:t>Motivering</w:t>
      </w:r>
    </w:p>
    <w:p>
      <w:pPr>
        <w:rPr>
          <w:noProof/>
        </w:rPr>
      </w:pPr>
      <w:r>
        <w:rPr>
          <w:noProof/>
        </w:rPr>
        <w:t>Het museum heeft een goed draaiende gidsenwerking met een pool van een paar tientallen gidsen, waarvan sommigen gespecialiseerd, voor kinderen, Franstalig, enzovoort. Een gidsbeurt is traditioneel (in niet-coronatijden) voor maximum 25 personen. In totaal gaat het over een 80-tal gidsbeurten per jaar.</w:t>
      </w:r>
    </w:p>
    <w:p>
      <w:pPr>
        <w:rPr>
          <w:noProof/>
        </w:rPr>
      </w:pPr>
      <w:r>
        <w:rPr>
          <w:noProof/>
        </w:rPr>
        <w:t>Het standaard tarief voor een geleid bezoek is momenteel 65 euro (de gegidste bezoekers betalen daarenboven het groepstarief per persoon) - retributie goedgekeurd door het directiecomité op 17 december 2019, en is sedert lang niet aangepast.</w:t>
      </w:r>
    </w:p>
    <w:p>
      <w:pPr>
        <w:rPr>
          <w:noProof/>
        </w:rPr>
      </w:pPr>
      <w:r>
        <w:rPr>
          <w:noProof/>
        </w:rPr>
        <w:t>Van die 65 euro gaat momenteel 11 euro naar het AGB en wordt er 54 euro doorgestort naar de gidsen. Onze gidsen werken volgens allerlei statuten, bijberoep, bijverdienste na pensioen, zelfstandig, enzovoort.</w:t>
      </w:r>
    </w:p>
    <w:p>
      <w:pPr>
        <w:rPr>
          <w:noProof/>
        </w:rPr>
      </w:pPr>
      <w:r>
        <w:rPr>
          <w:noProof/>
        </w:rPr>
        <w:t>Er zijn de laatste jaren redelijk wat klachten van gidsen dat dit niet meer voldoende is. Sommige gidsen, de beste eerst, haken daardoor af. Onderzoek wijst uit dat de tarieven in andere musea inderdaad hoger zijn, en dat het percentage van het totaalbedrag voor de gids ook nog eens hoger ligt, tot zelfs 100 % voor de gids.</w:t>
      </w:r>
    </w:p>
    <w:p>
      <w:pPr>
        <w:rPr>
          <w:noProof/>
        </w:rPr>
      </w:pPr>
      <w:r>
        <w:rPr>
          <w:noProof/>
        </w:rPr>
        <w:t>Daarom wordt voorgesteld om de retributie voor de gidsen te actualiseren. De raad van bestuur moet zich uitspreken over de tariefverhoging omdat de stijging meer dan 15 % bedraagt, en het directiecomité dus niet via de beheersovereenkomst is gemachtigd om de aanpassing goed te keuren. Concreet wordt het volgende voorgesteld :</w:t>
      </w:r>
      <w:r>
        <w:rPr>
          <w:noProof/>
        </w:rPr>
        <w:br/>
      </w:r>
      <w:r>
        <w:rPr>
          <w:noProof/>
        </w:rPr>
        <w:t>Een retributie van 85 euro per gidsbeurt,  waarvan 75 euro doorgestort wordt voor de betreffende gids en het saldo na BTW-aftrek van het volledige retributiebedrag voor het AGB.</w:t>
      </w:r>
    </w:p>
    <w:p>
      <w:pPr>
        <w:rPr>
          <w:noProof/>
        </w:rPr>
      </w:pPr>
      <w:r>
        <w:rPr>
          <w:noProof/>
        </w:rPr>
        <w:t>Een uitzondering vormen de gidsbeurten voor schoolgroepen van Groot-Deinze. Deze blijven gratis worden verzorgd met de eigen medewerkers.</w:t>
      </w:r>
    </w:p>
    <w:p w:rsidR="00160002" w:rsidP="00160002" w14:paraId="0A038276" w14:textId="77777777">
      <w:pPr>
        <w:pStyle w:val="Tekstvaklabel"/>
        <w:rPr>
          <w:noProof/>
        </w:rPr>
      </w:pPr>
      <w:r>
        <w:rPr>
          <w:noProof/>
        </w:rPr>
        <w:t>Financiële gevolgen</w:t>
      </w:r>
    </w:p>
    <w:p>
      <w:pPr>
        <w:rPr>
          <w:noProof/>
        </w:rPr>
      </w:pPr>
      <w:r>
        <w:rPr>
          <w:noProof/>
        </w:rPr>
        <w:t>De ontvangst van deze beslissing zal geboekt worden op:</w:t>
      </w:r>
    </w:p>
    <w:tbl>
      <w:tblPr>
        <w:tblStyle w:val="table"/>
        <w:tblW w:w="6915"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
      <w:tblGrid>
        <w:gridCol w:w="3314"/>
        <w:gridCol w:w="3571"/>
      </w:tblGrid>
      <w:tr>
        <w:tblPrEx>
          <w:tblW w:w="6915"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Look w:val="05E0"/>
        </w:tblPrEx>
        <w:tc>
          <w:tcPr>
            <w:tcW w:w="2280" w:type="dxa"/>
            <w:tcBorders>
              <w:bottom w:val="inset" w:sz="6" w:space="0" w:color="808080"/>
              <w:right w:val="inset" w:sz="6" w:space="0" w:color="808080"/>
            </w:tcBorders>
            <w:noWrap w:val="0"/>
            <w:tcMar>
              <w:top w:w="8" w:type="dxa"/>
              <w:left w:w="8" w:type="dxa"/>
              <w:bottom w:w="8" w:type="dxa"/>
              <w:right w:w="8" w:type="dxa"/>
            </w:tcMar>
            <w:vAlign w:val="top"/>
            <w:hideMark/>
          </w:tcPr>
          <w:p>
            <w:pPr>
              <w:rPr>
                <w:noProof/>
              </w:rPr>
            </w:pPr>
            <w:r>
              <w:rPr>
                <w:noProof/>
              </w:rPr>
              <w:t>meerjarenplan 2020-2025</w:t>
            </w:r>
          </w:p>
        </w:tc>
        <w:tc>
          <w:tcPr>
            <w:tcW w:w="3555" w:type="dxa"/>
            <w:tcBorders>
              <w:left w:val="inset" w:sz="6" w:space="0" w:color="808080"/>
              <w:bottom w:val="inset" w:sz="6" w:space="0" w:color="808080"/>
            </w:tcBorders>
            <w:noWrap w:val="0"/>
            <w:tcMar>
              <w:top w:w="8" w:type="dxa"/>
              <w:left w:w="8" w:type="dxa"/>
              <w:bottom w:w="8" w:type="dxa"/>
              <w:right w:w="8" w:type="dxa"/>
            </w:tcMar>
            <w:vAlign w:val="top"/>
            <w:hideMark/>
          </w:tcPr>
          <w:p>
            <w:pPr>
              <w:rPr>
                <w:noProof/>
              </w:rPr>
            </w:pPr>
            <w:r>
              <w:rPr>
                <w:noProof/>
              </w:rPr>
              <w:t> Exploitatie</w:t>
            </w:r>
          </w:p>
        </w:tc>
      </w:tr>
      <w:tr>
        <w:tblPrEx>
          <w:tblW w:w="6915" w:type="dxa"/>
          <w:tblInd w:w="16" w:type="dxa"/>
          <w:tblCellMar>
            <w:top w:w="0" w:type="dxa"/>
            <w:left w:w="0" w:type="dxa"/>
            <w:bottom w:w="0" w:type="dxa"/>
            <w:right w:w="0" w:type="dxa"/>
          </w:tblCellMar>
          <w:tblLook w:val="05E0"/>
        </w:tblPrEx>
        <w:tc>
          <w:tcPr>
            <w:tcW w:w="2280" w:type="dxa"/>
            <w:tcBorders>
              <w:top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rPr>
                <w:noProof/>
              </w:rPr>
            </w:pPr>
            <w:r>
              <w:rPr>
                <w:noProof/>
              </w:rPr>
              <w:t>jaar</w:t>
            </w:r>
          </w:p>
        </w:tc>
        <w:tc>
          <w:tcPr>
            <w:tcW w:w="3555" w:type="dxa"/>
            <w:tcBorders>
              <w:top w:val="inset" w:sz="6" w:space="0" w:color="808080"/>
              <w:left w:val="inset" w:sz="6" w:space="0" w:color="808080"/>
              <w:bottom w:val="inset" w:sz="6" w:space="0" w:color="808080"/>
            </w:tcBorders>
            <w:noWrap w:val="0"/>
            <w:tcMar>
              <w:top w:w="8" w:type="dxa"/>
              <w:left w:w="8" w:type="dxa"/>
              <w:bottom w:w="8" w:type="dxa"/>
              <w:right w:w="8" w:type="dxa"/>
            </w:tcMar>
            <w:vAlign w:val="top"/>
            <w:hideMark/>
          </w:tcPr>
          <w:p>
            <w:pPr>
              <w:rPr>
                <w:noProof/>
              </w:rPr>
            </w:pPr>
            <w:r>
              <w:rPr>
                <w:noProof/>
              </w:rPr>
              <w:t> 2021</w:t>
            </w:r>
          </w:p>
        </w:tc>
      </w:tr>
      <w:tr>
        <w:tblPrEx>
          <w:tblW w:w="6915" w:type="dxa"/>
          <w:tblInd w:w="16" w:type="dxa"/>
          <w:tblCellMar>
            <w:top w:w="0" w:type="dxa"/>
            <w:left w:w="0" w:type="dxa"/>
            <w:bottom w:w="0" w:type="dxa"/>
            <w:right w:w="0" w:type="dxa"/>
          </w:tblCellMar>
          <w:tblLook w:val="05E0"/>
        </w:tblPrEx>
        <w:tc>
          <w:tcPr>
            <w:tcW w:w="2280" w:type="dxa"/>
            <w:tcBorders>
              <w:top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rPr>
                <w:noProof/>
              </w:rPr>
            </w:pPr>
            <w:r>
              <w:rPr>
                <w:noProof/>
              </w:rPr>
              <w:t>beleidsitem</w:t>
            </w:r>
          </w:p>
        </w:tc>
        <w:tc>
          <w:tcPr>
            <w:tcW w:w="3555" w:type="dxa"/>
            <w:tcBorders>
              <w:top w:val="inset" w:sz="6" w:space="0" w:color="808080"/>
              <w:left w:val="inset" w:sz="6" w:space="0" w:color="808080"/>
              <w:bottom w:val="inset" w:sz="6" w:space="0" w:color="808080"/>
            </w:tcBorders>
            <w:noWrap w:val="0"/>
            <w:tcMar>
              <w:top w:w="8" w:type="dxa"/>
              <w:left w:w="8" w:type="dxa"/>
              <w:bottom w:w="8" w:type="dxa"/>
              <w:right w:w="8" w:type="dxa"/>
            </w:tcMar>
            <w:vAlign w:val="top"/>
            <w:hideMark/>
          </w:tcPr>
          <w:p>
            <w:pPr>
              <w:rPr>
                <w:noProof/>
              </w:rPr>
            </w:pPr>
            <w:r>
              <w:rPr>
                <w:noProof/>
              </w:rPr>
              <w:t> 070001 - Museum van Deinze en de Leiestreek</w:t>
            </w:r>
          </w:p>
        </w:tc>
      </w:tr>
      <w:tr>
        <w:tblPrEx>
          <w:tblW w:w="6915" w:type="dxa"/>
          <w:tblInd w:w="16" w:type="dxa"/>
          <w:tblCellMar>
            <w:top w:w="0" w:type="dxa"/>
            <w:left w:w="0" w:type="dxa"/>
            <w:bottom w:w="0" w:type="dxa"/>
            <w:right w:w="0" w:type="dxa"/>
          </w:tblCellMar>
          <w:tblLook w:val="05E0"/>
        </w:tblPrEx>
        <w:tc>
          <w:tcPr>
            <w:tcW w:w="2280" w:type="dxa"/>
            <w:tcBorders>
              <w:top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rPr>
                <w:noProof/>
              </w:rPr>
            </w:pPr>
            <w:r>
              <w:rPr>
                <w:noProof/>
              </w:rPr>
              <w:t>algemene rekening</w:t>
            </w:r>
          </w:p>
        </w:tc>
        <w:tc>
          <w:tcPr>
            <w:tcW w:w="3555" w:type="dxa"/>
            <w:tcBorders>
              <w:top w:val="inset" w:sz="6" w:space="0" w:color="808080"/>
              <w:left w:val="inset" w:sz="6" w:space="0" w:color="808080"/>
              <w:bottom w:val="inset" w:sz="6" w:space="0" w:color="808080"/>
            </w:tcBorders>
            <w:noWrap w:val="0"/>
            <w:tcMar>
              <w:top w:w="8" w:type="dxa"/>
              <w:left w:w="8" w:type="dxa"/>
              <w:bottom w:w="8" w:type="dxa"/>
              <w:right w:w="8" w:type="dxa"/>
            </w:tcMar>
            <w:vAlign w:val="top"/>
            <w:hideMark/>
          </w:tcPr>
          <w:p>
            <w:pPr>
              <w:rPr>
                <w:noProof/>
              </w:rPr>
            </w:pPr>
            <w:r>
              <w:rPr>
                <w:noProof/>
              </w:rPr>
              <w:t> 702002 - inkomsten gidsen museum</w:t>
            </w:r>
          </w:p>
        </w:tc>
      </w:tr>
      <w:tr>
        <w:tblPrEx>
          <w:tblW w:w="6915" w:type="dxa"/>
          <w:tblInd w:w="16" w:type="dxa"/>
          <w:tblCellMar>
            <w:top w:w="0" w:type="dxa"/>
            <w:left w:w="0" w:type="dxa"/>
            <w:bottom w:w="0" w:type="dxa"/>
            <w:right w:w="0" w:type="dxa"/>
          </w:tblCellMar>
          <w:tblLook w:val="05E0"/>
        </w:tblPrEx>
        <w:tc>
          <w:tcPr>
            <w:tcW w:w="2280" w:type="dxa"/>
            <w:tcBorders>
              <w:top w:val="inset" w:sz="6" w:space="0" w:color="808080"/>
              <w:bottom w:val="inset" w:sz="6" w:space="0" w:color="808080"/>
              <w:right w:val="inset" w:sz="6" w:space="0" w:color="808080"/>
            </w:tcBorders>
            <w:noWrap w:val="0"/>
            <w:tcMar>
              <w:top w:w="8" w:type="dxa"/>
              <w:left w:w="8" w:type="dxa"/>
              <w:bottom w:w="8" w:type="dxa"/>
              <w:right w:w="8" w:type="dxa"/>
            </w:tcMar>
            <w:vAlign w:val="top"/>
            <w:hideMark/>
          </w:tcPr>
          <w:p>
            <w:pPr>
              <w:rPr>
                <w:noProof/>
              </w:rPr>
            </w:pPr>
            <w:r>
              <w:rPr>
                <w:noProof/>
              </w:rPr>
              <w:t>actie</w:t>
            </w:r>
          </w:p>
        </w:tc>
        <w:tc>
          <w:tcPr>
            <w:tcW w:w="3555" w:type="dxa"/>
            <w:tcBorders>
              <w:top w:val="inset" w:sz="6" w:space="0" w:color="808080"/>
              <w:left w:val="inset" w:sz="6" w:space="0" w:color="808080"/>
              <w:bottom w:val="inset" w:sz="6" w:space="0" w:color="808080"/>
            </w:tcBorders>
            <w:noWrap w:val="0"/>
            <w:tcMar>
              <w:top w:w="8" w:type="dxa"/>
              <w:left w:w="8" w:type="dxa"/>
              <w:bottom w:w="8" w:type="dxa"/>
              <w:right w:w="8" w:type="dxa"/>
            </w:tcMar>
            <w:vAlign w:val="top"/>
            <w:hideMark/>
          </w:tcPr>
          <w:p>
            <w:pPr>
              <w:rPr>
                <w:noProof/>
              </w:rPr>
            </w:pPr>
            <w:r>
              <w:rPr>
                <w:noProof/>
              </w:rPr>
              <w:t> geen</w:t>
            </w:r>
          </w:p>
        </w:tc>
      </w:tr>
      <w:tr>
        <w:tblPrEx>
          <w:tblW w:w="6915" w:type="dxa"/>
          <w:tblInd w:w="16" w:type="dxa"/>
          <w:tblCellMar>
            <w:top w:w="0" w:type="dxa"/>
            <w:left w:w="0" w:type="dxa"/>
            <w:bottom w:w="0" w:type="dxa"/>
            <w:right w:w="0" w:type="dxa"/>
          </w:tblCellMar>
          <w:tblLook w:val="05E0"/>
        </w:tblPrEx>
        <w:tc>
          <w:tcPr>
            <w:tcW w:w="2280" w:type="dxa"/>
            <w:tcBorders>
              <w:top w:val="inset" w:sz="6" w:space="0" w:color="808080"/>
              <w:right w:val="inset" w:sz="6" w:space="0" w:color="808080"/>
            </w:tcBorders>
            <w:noWrap w:val="0"/>
            <w:tcMar>
              <w:top w:w="8" w:type="dxa"/>
              <w:left w:w="8" w:type="dxa"/>
              <w:bottom w:w="8" w:type="dxa"/>
              <w:right w:w="8" w:type="dxa"/>
            </w:tcMar>
            <w:vAlign w:val="top"/>
            <w:hideMark/>
          </w:tcPr>
          <w:p>
            <w:pPr>
              <w:rPr>
                <w:noProof/>
              </w:rPr>
            </w:pPr>
            <w:r>
              <w:rPr>
                <w:noProof/>
              </w:rPr>
              <w:t>krediet</w:t>
            </w:r>
          </w:p>
        </w:tc>
        <w:tc>
          <w:tcPr>
            <w:tcW w:w="3555" w:type="dxa"/>
            <w:tcBorders>
              <w:top w:val="inset" w:sz="6" w:space="0" w:color="808080"/>
              <w:left w:val="inset" w:sz="6" w:space="0" w:color="808080"/>
            </w:tcBorders>
            <w:noWrap w:val="0"/>
            <w:tcMar>
              <w:top w:w="8" w:type="dxa"/>
              <w:left w:w="8" w:type="dxa"/>
              <w:bottom w:w="8" w:type="dxa"/>
              <w:right w:w="8" w:type="dxa"/>
            </w:tcMar>
            <w:vAlign w:val="top"/>
            <w:hideMark/>
          </w:tcPr>
          <w:p>
            <w:pPr>
              <w:rPr>
                <w:noProof/>
              </w:rPr>
            </w:pPr>
            <w:r>
              <w:rPr>
                <w:noProof/>
              </w:rPr>
              <w:t> toereikend</w:t>
            </w:r>
          </w:p>
        </w:tc>
      </w:tr>
    </w:tbl>
    <w:p w:rsidR="00CA5B79" w:rsidRPr="00016A2E" w:rsidP="00CA5B79" w14:paraId="2430E333" w14:textId="77777777">
      <w:pPr>
        <w:rPr>
          <w:noProof/>
          <w:szCs w:val="20"/>
        </w:rPr>
      </w:pPr>
      <w:r>
        <w:rPr>
          <w:b/>
          <w:noProof/>
          <w:szCs w:val="20"/>
        </w:rPr>
        <w:t>S</w:t>
      </w:r>
      <w:r w:rsidRPr="00E25770">
        <w:rPr>
          <w:b/>
          <w:noProof/>
          <w:szCs w:val="20"/>
        </w:rPr>
        <w:t>temming over het agendapunt</w:t>
      </w:r>
    </w:p>
    <w:p w:rsidR="00816F3E" w:rsidP="00816F3E" w14:paraId="059FBCB0" w14:textId="77777777">
      <w:r>
        <w:rPr>
          <w:noProof/>
        </w:rPr>
        <w:t>Goedgekeurd met eenparigheid van stemmen.</w:t>
      </w:r>
    </w:p>
    <w:p w:rsidR="00160002" w:rsidRPr="00FC3E79" w:rsidP="00160002" w14:paraId="5C165572" w14:textId="77777777">
      <w:pPr>
        <w:pStyle w:val="Tekstvaklabel"/>
      </w:pPr>
      <w:r>
        <w:rPr>
          <w:noProof/>
        </w:rPr>
        <w:t>Besluit</w:t>
      </w:r>
    </w:p>
    <w:p>
      <w:pPr>
        <w:rPr>
          <w:noProof/>
        </w:rPr>
      </w:pPr>
      <w:r>
        <w:rPr>
          <w:noProof/>
        </w:rPr>
        <w:t>Artikel 1</w:t>
      </w:r>
      <w:r>
        <w:rPr>
          <w:noProof/>
        </w:rPr>
        <w:br/>
      </w:r>
      <w:r>
        <w:rPr>
          <w:noProof/>
        </w:rPr>
        <w:t>Er wordt voor een termijn aanvangend op 1 januari 2021 en eindigend op 31 december 2025 een retributie geheven op de gidsbeurten in het Museum van Deinze en de Leiestreek.</w:t>
      </w:r>
    </w:p>
    <w:p>
      <w:pPr>
        <w:rPr>
          <w:noProof/>
        </w:rPr>
      </w:pPr>
      <w:r>
        <w:rPr>
          <w:noProof/>
        </w:rPr>
        <w:t>Artikel 2</w:t>
      </w:r>
      <w:r>
        <w:rPr>
          <w:noProof/>
        </w:rPr>
        <w:br/>
      </w:r>
      <w:r>
        <w:rPr>
          <w:noProof/>
        </w:rPr>
        <w:t>Het directiecomité van het AGB stad Deinze wordt verzocht het retributiereglement van 17 december 2019 voor wat betreft artikel 2 van het reglement, retributie voor gidsbeurten, op te heffen vanaf 1 januari 2021.</w:t>
      </w:r>
    </w:p>
    <w:p>
      <w:pPr>
        <w:rPr>
          <w:noProof/>
        </w:rPr>
      </w:pPr>
      <w:r>
        <w:rPr>
          <w:noProof/>
        </w:rPr>
        <w:t>Artikel 3</w:t>
      </w:r>
      <w:r>
        <w:rPr>
          <w:noProof/>
        </w:rPr>
        <w:br/>
      </w:r>
      <w:r>
        <w:rPr>
          <w:noProof/>
        </w:rPr>
        <w:t>Een kopie van dit besluit wordt aan de financieel directeur bezorgd en aan de betrokken dienst belast met de toepassing van dit reglement.</w:t>
      </w:r>
    </w:p>
    <w:p>
      <w:pPr>
        <w:rPr>
          <w:noProof/>
        </w:rPr>
      </w:pPr>
      <w:r>
        <w:rPr>
          <w:noProof/>
        </w:rPr>
        <w:t>Artikel 4</w:t>
      </w:r>
      <w:r>
        <w:rPr>
          <w:noProof/>
        </w:rPr>
        <w:br/>
      </w:r>
      <w:r>
        <w:rPr>
          <w:noProof/>
        </w:rPr>
        <w:t>Dit besluit en de inhoud ervan wordt bekendgemaakt via de besluitenlijst van de raad van bestuur op de webtoepassing van de stad. De toezichthoudende overheid wordt op de hoogte gebracht van de bekendmaking (artikel 285 § 1, 2°, artikel 287 en artikel 330 van het decreet lokaal bestuur van 22 december 2017).</w:t>
      </w:r>
    </w:p>
    <w:p w:rsidR="000A2EF7" w:rsidRPr="00FC3E79" w:rsidP="000A2EF7" w14:paraId="199C3925" w14:textId="645B76D2">
      <w:pPr>
        <w:pStyle w:val="Tekstvaklabel"/>
      </w:pPr>
      <w:r>
        <w:rPr>
          <w:noProof/>
        </w:rPr>
        <w:t>Reglementen</w:t>
      </w:r>
    </w:p>
    <w:p>
      <w:pPr>
        <w:rPr>
          <w:noProof/>
        </w:rPr>
      </w:pPr>
      <w:r>
        <w:rPr>
          <w:b/>
          <w:bCs/>
          <w:noProof/>
        </w:rPr>
        <w:t>Periode</w:t>
      </w:r>
    </w:p>
    <w:p>
      <w:pPr>
        <w:rPr>
          <w:noProof/>
        </w:rPr>
      </w:pPr>
      <w:r>
        <w:rPr>
          <w:noProof/>
        </w:rPr>
        <w:t>Artikel 1</w:t>
      </w:r>
      <w:r>
        <w:rPr>
          <w:noProof/>
        </w:rPr>
        <w:br/>
      </w:r>
      <w:r>
        <w:rPr>
          <w:noProof/>
        </w:rPr>
        <w:t>Er wordt voor een termijn aanvangend op 1 januari 2021 en eindigend op 31 december 2025 een retributie geheven op de gidsbeurten in het Museum van Deinze en de Leiestreek.</w:t>
      </w:r>
    </w:p>
    <w:p>
      <w:pPr>
        <w:rPr>
          <w:noProof/>
        </w:rPr>
      </w:pPr>
      <w:r>
        <w:rPr>
          <w:b/>
          <w:bCs/>
          <w:noProof/>
        </w:rPr>
        <w:t>Schuldenaar</w:t>
      </w:r>
    </w:p>
    <w:p>
      <w:pPr>
        <w:rPr>
          <w:noProof/>
        </w:rPr>
      </w:pPr>
      <w:r>
        <w:rPr>
          <w:noProof/>
        </w:rPr>
        <w:t>Artikel 2</w:t>
      </w:r>
      <w:r>
        <w:rPr>
          <w:noProof/>
        </w:rPr>
        <w:br/>
      </w:r>
      <w:r>
        <w:rPr>
          <w:noProof/>
        </w:rPr>
        <w:t>De retributie is verschuldigd door personen of groepen die bij een bezoek aan het mudel de begeleiding van een gids wensen.</w:t>
      </w:r>
    </w:p>
    <w:p>
      <w:pPr>
        <w:rPr>
          <w:noProof/>
        </w:rPr>
      </w:pPr>
      <w:r>
        <w:rPr>
          <w:b/>
          <w:bCs/>
          <w:noProof/>
        </w:rPr>
        <w:t>Tarieven</w:t>
      </w:r>
    </w:p>
    <w:p>
      <w:pPr>
        <w:rPr>
          <w:noProof/>
        </w:rPr>
      </w:pPr>
      <w:r>
        <w:rPr>
          <w:noProof/>
        </w:rPr>
        <w:t>Artikel 3</w:t>
      </w:r>
      <w:r>
        <w:rPr>
          <w:noProof/>
        </w:rPr>
        <w:br/>
      </w:r>
      <w:r>
        <w:rPr>
          <w:noProof/>
        </w:rPr>
        <w:t>De retributie wordt als volgt vastgesteld:</w:t>
      </w:r>
      <w:r>
        <w:rPr>
          <w:noProof/>
        </w:rPr>
        <w:br/>
      </w:r>
      <w:r>
        <w:rPr>
          <w:noProof/>
        </w:rPr>
        <w:t>85 euro per gids (inclusief btw). 75 euro wordt doorgestort naar de gids, het saldo is na BTW-aftrek van het volledige retributiebedrag voor het AGB om de administratieve kosten te dekken.</w:t>
      </w:r>
    </w:p>
    <w:p>
      <w:pPr>
        <w:rPr>
          <w:noProof/>
        </w:rPr>
      </w:pPr>
      <w:r>
        <w:rPr>
          <w:noProof/>
        </w:rPr>
        <w:t>Rondleidingen na de openingsuren (op zaterdagen en zondagen na 17 uur, gewone werkdagen na 17.30 uur) zijn enkel mogelijk na overleg en zullen als volgt worden berekend:</w:t>
      </w:r>
    </w:p>
    <w:p>
      <w:pPr>
        <w:numPr>
          <w:ilvl w:val="0"/>
          <w:numId w:val="14"/>
        </w:numPr>
        <w:ind w:left="720" w:hanging="360"/>
        <w:jc w:val="left"/>
        <w:rPr>
          <w:noProof/>
        </w:rPr>
      </w:pPr>
      <w:r>
        <w:rPr>
          <w:noProof/>
        </w:rPr>
        <w:t>de prijs per gidsbeurt wordt vermenigvuldigd met twee voor de Deinse aanvragers (en voor aanvragers die reeds een retributie betaalden voor het gebruik van de museumzalen na de openingsuren - retributie goedgekeurd door raad van bestuur op 17 december 2019) (*)</w:t>
      </w:r>
    </w:p>
    <w:p>
      <w:pPr>
        <w:numPr>
          <w:ilvl w:val="0"/>
          <w:numId w:val="14"/>
        </w:numPr>
        <w:ind w:left="720" w:hanging="360"/>
        <w:jc w:val="left"/>
        <w:rPr>
          <w:noProof/>
        </w:rPr>
      </w:pPr>
      <w:r>
        <w:rPr>
          <w:noProof/>
        </w:rPr>
        <w:t>de prijs per gidsbeurt wordt vermenigvuldigd met vier voor niet Deinse aanvragers (*)</w:t>
      </w:r>
    </w:p>
    <w:p>
      <w:pPr>
        <w:rPr>
          <w:noProof/>
        </w:rPr>
      </w:pPr>
      <w:r>
        <w:rPr>
          <w:noProof/>
        </w:rPr>
        <w:t>(*) tenzij de betrokken gids uitdrukkelijk akkoord gaat met het standaardtarief van 85 euro.</w:t>
      </w:r>
    </w:p>
    <w:p>
      <w:pPr>
        <w:rPr>
          <w:noProof/>
        </w:rPr>
      </w:pPr>
      <w:r>
        <w:rPr>
          <w:b/>
          <w:bCs/>
          <w:noProof/>
        </w:rPr>
        <w:t>Vrijstellingen</w:t>
      </w:r>
    </w:p>
    <w:p>
      <w:pPr>
        <w:rPr>
          <w:noProof/>
        </w:rPr>
      </w:pPr>
      <w:r>
        <w:rPr>
          <w:noProof/>
        </w:rPr>
        <w:t>Artikel 4</w:t>
      </w:r>
      <w:r>
        <w:rPr>
          <w:noProof/>
        </w:rPr>
        <w:br/>
      </w:r>
      <w:r>
        <w:rPr>
          <w:noProof/>
        </w:rPr>
        <w:t>Vrijstelling wordt verleend voor gidsbeurten voor schoolgroepen van Groot-Deinze. Deze zijn gratis en worden verzorgd door eigen medewerkers van het mudel. De kosten zullen via een derdebetalerssysteem gedragen worden door de stad Deinze.</w:t>
      </w:r>
    </w:p>
    <w:p>
      <w:pPr>
        <w:rPr>
          <w:noProof/>
        </w:rPr>
      </w:pPr>
      <w:r>
        <w:rPr>
          <w:b/>
          <w:bCs/>
          <w:noProof/>
        </w:rPr>
        <w:t>Wijze van betaling</w:t>
      </w:r>
    </w:p>
    <w:p>
      <w:pPr>
        <w:rPr>
          <w:noProof/>
        </w:rPr>
      </w:pPr>
      <w:r>
        <w:rPr>
          <w:noProof/>
        </w:rPr>
        <w:t>Artikel 7</w:t>
      </w:r>
      <w:r>
        <w:rPr>
          <w:noProof/>
        </w:rPr>
        <w:br/>
      </w:r>
      <w:r>
        <w:rPr>
          <w:noProof/>
        </w:rPr>
        <w:t>De retributie moet contant betaald worden bij aanvang van de gidsbeurt. Een kwitantie wordt afgeleverd.</w:t>
      </w:r>
    </w:p>
    <w:p>
      <w:pPr>
        <w:rPr>
          <w:noProof/>
        </w:rPr>
      </w:pPr>
      <w:r>
        <w:rPr>
          <w:b/>
          <w:bCs/>
          <w:noProof/>
        </w:rPr>
        <w:t>Maatregelen bij weigering van betaling</w:t>
      </w:r>
    </w:p>
    <w:p>
      <w:pPr>
        <w:rPr>
          <w:noProof/>
        </w:rPr>
      </w:pPr>
      <w:r>
        <w:rPr>
          <w:noProof/>
        </w:rPr>
        <w:t>Artikel 8</w:t>
      </w:r>
      <w:r>
        <w:rPr>
          <w:noProof/>
        </w:rPr>
        <w:br/>
      </w:r>
      <w:r>
        <w:rPr>
          <w:noProof/>
        </w:rPr>
        <w:t>Bij weigering of nalatigheid om de retributie te betalen, geschiedt de invordering volgens de regels van de burgerlijke rechtspleging voor het betwiste gedeelte.</w:t>
      </w:r>
    </w:p>
    <w:p>
      <w:pPr>
        <w:rPr>
          <w:noProof/>
        </w:rPr>
      </w:pPr>
      <w:r>
        <w:rPr>
          <w:noProof/>
        </w:rPr>
        <w:t>Voor het niet-betwiste gedeelte van de niet-fiscale vorderingen geschiedt de invordering overeenkomstig artikel 177 van het decreet van 22 december 2017 over het lokaal bestuur.</w:t>
      </w:r>
    </w:p>
    <w:p w:rsidR="000A2EF7" w:rsidP="000A2EF7" w14:paraId="4739ADDE" w14:textId="77777777">
      <w:pPr>
        <w:spacing w:before="240" w:after="0"/>
      </w:pPr>
      <w:r w:rsidRPr="000A2EF7">
        <w:t xml:space="preserve">Beslist in zitting van </w:t>
      </w:r>
      <w:r w:rsidRPr="000A2EF7">
        <w:rPr>
          <w:noProof/>
        </w:rPr>
        <w:t>14 december 2020</w:t>
      </w:r>
    </w:p>
    <w:p w:rsidR="00CB2A86" w:rsidP="000A2EF7" w14:paraId="70A76019" w14:textId="77777777">
      <w:pPr>
        <w:spacing w:before="240" w:after="0"/>
      </w:pPr>
    </w:p>
    <w:tbl>
      <w:tblPr>
        <w:tblW w:w="9815" w:type="dxa"/>
        <w:tblLook w:val="04A0"/>
      </w:tblPr>
      <w:tblGrid>
        <w:gridCol w:w="3715"/>
        <w:gridCol w:w="2126"/>
        <w:gridCol w:w="3974"/>
      </w:tblGrid>
      <w:tr w14:paraId="1E5E5DDB" w14:textId="77777777" w:rsidTr="00A1327C">
        <w:tblPrEx>
          <w:tblW w:w="9815" w:type="dxa"/>
          <w:tblLook w:val="04A0"/>
        </w:tblPrEx>
        <w:tc>
          <w:tcPr>
            <w:tcW w:w="9815" w:type="dxa"/>
            <w:gridSpan w:val="3"/>
            <w:shd w:val="clear" w:color="auto" w:fill="auto"/>
          </w:tcPr>
          <w:p w:rsidR="00CB2A86" w:rsidP="00A1327C" w14:paraId="4EAEAE37" w14:textId="2AC75F84">
            <w:pPr>
              <w:jc w:val="center"/>
            </w:pPr>
            <w:r>
              <w:t>Namens de raad van bestuur</w:t>
            </w:r>
            <w:r w:rsidR="00136D7A">
              <w:t xml:space="preserve"> AGB stad Deinze</w:t>
            </w:r>
          </w:p>
        </w:tc>
      </w:tr>
      <w:tr w14:paraId="6BB5E2CE" w14:textId="77777777" w:rsidTr="00A1327C">
        <w:tblPrEx>
          <w:tblW w:w="9815" w:type="dxa"/>
          <w:tblLook w:val="04A0"/>
        </w:tblPrEx>
        <w:tc>
          <w:tcPr>
            <w:tcW w:w="3715" w:type="dxa"/>
            <w:shd w:val="clear" w:color="auto" w:fill="auto"/>
          </w:tcPr>
          <w:p w:rsidR="00CB2A86" w:rsidP="00A1327C" w14:paraId="2543674A" w14:textId="77777777">
            <w:r w:rsidRPr="008B1413">
              <w:t xml:space="preserve">De </w:t>
            </w:r>
            <w:r>
              <w:rPr>
                <w:noProof/>
              </w:rPr>
              <w:t>secretaris AGB Stad Deinze</w:t>
            </w:r>
            <w:r w:rsidRPr="008B1413">
              <w:t>,</w:t>
            </w:r>
          </w:p>
          <w:p w:rsidR="00CB2A86" w:rsidRPr="008B1413" w:rsidP="00A1327C" w14:paraId="25DE355C" w14:textId="77777777">
            <w:r>
              <w:rPr>
                <w:noProof/>
              </w:rPr>
              <w:t>Stefanie De Vlieger</w:t>
            </w:r>
          </w:p>
        </w:tc>
        <w:tc>
          <w:tcPr>
            <w:tcW w:w="2126" w:type="dxa"/>
            <w:shd w:val="clear" w:color="auto" w:fill="auto"/>
          </w:tcPr>
          <w:p w:rsidR="00CB2A86" w:rsidRPr="008B1413" w:rsidP="00A1327C" w14:paraId="58B1DC18" w14:textId="77777777"/>
        </w:tc>
        <w:tc>
          <w:tcPr>
            <w:tcW w:w="3974" w:type="dxa"/>
            <w:shd w:val="clear" w:color="auto" w:fill="auto"/>
          </w:tcPr>
          <w:p w:rsidR="00CB2A86" w:rsidP="00A1327C" w14:paraId="3A555E1C" w14:textId="77777777">
            <w:pPr>
              <w:jc w:val="right"/>
            </w:pPr>
            <w:r w:rsidRPr="008B1413">
              <w:t xml:space="preserve">De </w:t>
            </w:r>
            <w:r>
              <w:rPr>
                <w:noProof/>
              </w:rPr>
              <w:t>voorzitter AGB stad Deinze</w:t>
            </w:r>
            <w:r w:rsidRPr="008B1413">
              <w:t>,</w:t>
            </w:r>
          </w:p>
          <w:p w:rsidR="00CB2A86" w:rsidRPr="008B1413" w:rsidP="00A1327C" w14:paraId="78082665" w14:textId="77777777">
            <w:pPr>
              <w:jc w:val="right"/>
            </w:pPr>
            <w:r>
              <w:rPr>
                <w:noProof/>
              </w:rPr>
              <w:t>Jan Vermeulen</w:t>
            </w:r>
          </w:p>
        </w:tc>
      </w:tr>
      <w:tr w14:paraId="72AFDE2C" w14:textId="77777777" w:rsidTr="00A1327C">
        <w:tblPrEx>
          <w:tblW w:w="9815" w:type="dxa"/>
          <w:tblLook w:val="04A0"/>
        </w:tblPrEx>
        <w:tc>
          <w:tcPr>
            <w:tcW w:w="9815" w:type="dxa"/>
            <w:gridSpan w:val="3"/>
            <w:shd w:val="clear" w:color="auto" w:fill="auto"/>
          </w:tcPr>
          <w:p w:rsidR="00CB2A86" w:rsidRPr="008B1413" w:rsidP="00A1327C" w14:paraId="3BCAEB41" w14:textId="77777777">
            <w:pPr>
              <w:jc w:val="center"/>
            </w:pPr>
            <w:r>
              <w:t>Voor éénsluidend afschrift,</w:t>
            </w:r>
            <w:r>
              <w:br/>
              <w:t xml:space="preserve">Deinze, </w:t>
            </w:r>
            <w:r>
              <w:fldChar w:fldCharType="begin"/>
            </w:r>
            <w:r>
              <w:instrText xml:space="preserve"> DATE  \@ "d MMMM yyyy"  \* MERGEFORMAT </w:instrText>
            </w:r>
            <w:r>
              <w:fldChar w:fldCharType="separate"/>
            </w:r>
            <w:r w:rsidR="007258EC">
              <w:rPr>
                <w:noProof/>
              </w:rPr>
              <w:t>19 maart 2021</w:t>
            </w:r>
            <w:r>
              <w:fldChar w:fldCharType="end"/>
            </w:r>
          </w:p>
        </w:tc>
      </w:tr>
    </w:tbl>
    <w:p w:rsidR="001B7044" w:rsidRPr="005803F8" w:rsidP="001B7044" w14:paraId="6FBA4BAF" w14:textId="77777777">
      <w:pPr>
        <w:tabs>
          <w:tab w:val="left" w:pos="6379"/>
        </w:tabs>
        <w:ind w:hanging="851"/>
        <w:rPr>
          <w:color w:val="DFDFDF" w:themeColor="background1"/>
          <w:sz w:val="4"/>
          <w:szCs w:val="4"/>
        </w:rPr>
      </w:pPr>
    </w:p>
    <w:p w:rsidR="001B7044" w:rsidRPr="005803F8" w:rsidP="001B7044" w14:paraId="58F67AF3" w14:textId="77777777">
      <w:pPr>
        <w:tabs>
          <w:tab w:val="left" w:pos="6379"/>
        </w:tabs>
        <w:ind w:hanging="709"/>
        <w:rPr>
          <w:color w:val="DFDFDF" w:themeColor="background1"/>
          <w:sz w:val="4"/>
          <w:szCs w:val="4"/>
        </w:rPr>
      </w:pPr>
      <w:r w:rsidRPr="005803F8">
        <w:rPr>
          <w:color w:val="DFDFDF" w:themeColor="background1"/>
          <w:sz w:val="4"/>
          <w:szCs w:val="4"/>
        </w:rPr>
        <w:t>#$ondertekening2$#</w:t>
      </w:r>
      <w:r w:rsidRPr="005803F8">
        <w:rPr>
          <w:color w:val="DFDFDF" w:themeColor="background1"/>
          <w:sz w:val="4"/>
          <w:szCs w:val="4"/>
        </w:rPr>
        <w:tab/>
      </w:r>
      <w:r w:rsidRPr="005803F8">
        <w:rPr>
          <w:color w:val="DFDFDF" w:themeColor="background1"/>
          <w:sz w:val="4"/>
          <w:szCs w:val="4"/>
        </w:rPr>
        <w:tab/>
        <w:t>#$ondertekening1$#</w:t>
      </w:r>
    </w:p>
    <w:p w:rsidR="001B7044" w:rsidRPr="005803F8" w:rsidP="001B7044" w14:paraId="02D79838" w14:textId="77777777">
      <w:pPr>
        <w:tabs>
          <w:tab w:val="left" w:pos="6379"/>
        </w:tabs>
        <w:rPr>
          <w:color w:val="DFDFDF" w:themeColor="background1"/>
          <w:szCs w:val="20"/>
        </w:rPr>
      </w:pPr>
    </w:p>
    <w:p w:rsidR="001B7044" w:rsidRPr="005803F8" w:rsidP="001B7044" w14:paraId="23F74AF4" w14:textId="77777777">
      <w:pPr>
        <w:tabs>
          <w:tab w:val="left" w:pos="6379"/>
        </w:tabs>
        <w:rPr>
          <w:color w:val="DFDFDF" w:themeColor="background1"/>
          <w:szCs w:val="20"/>
        </w:rPr>
      </w:pPr>
    </w:p>
    <w:p w:rsidR="001B7044" w:rsidRPr="005803F8" w:rsidP="001B7044" w14:paraId="6103255E" w14:textId="77777777">
      <w:pPr>
        <w:tabs>
          <w:tab w:val="left" w:pos="6379"/>
        </w:tabs>
        <w:rPr>
          <w:color w:val="DFDFDF" w:themeColor="background1"/>
          <w:szCs w:val="20"/>
        </w:rPr>
      </w:pPr>
    </w:p>
    <w:p w:rsidR="001B7044" w:rsidRPr="005803F8" w:rsidP="001B7044" w14:paraId="50BD76DE" w14:textId="77777777">
      <w:pPr>
        <w:pStyle w:val="Footer"/>
        <w:tabs>
          <w:tab w:val="left" w:pos="851"/>
        </w:tabs>
        <w:rPr>
          <w:color w:val="DFDFDF" w:themeColor="background1"/>
          <w:sz w:val="4"/>
          <w:szCs w:val="4"/>
        </w:rPr>
      </w:pPr>
      <w:r w:rsidRPr="005803F8">
        <w:rPr>
          <w:color w:val="DFDFDF" w:themeColor="background1"/>
          <w:sz w:val="4"/>
          <w:szCs w:val="4"/>
        </w:rPr>
        <w:t>#$stempel$#</w:t>
      </w:r>
    </w:p>
    <w:p w:rsidR="001B7044" w:rsidP="001B7044" w14:paraId="0F85F5D2" w14:textId="77777777">
      <w:pPr>
        <w:tabs>
          <w:tab w:val="left" w:pos="6379"/>
        </w:tabs>
        <w:rPr>
          <w:color w:val="000000" w:themeColor="text1"/>
          <w:szCs w:val="20"/>
        </w:rPr>
      </w:pPr>
    </w:p>
    <w:p w:rsidR="001B7044" w:rsidRPr="008E2C31" w:rsidP="001B7044" w14:paraId="21344498" w14:textId="77777777">
      <w:pPr>
        <w:tabs>
          <w:tab w:val="left" w:pos="851"/>
          <w:tab w:val="left" w:pos="6379"/>
        </w:tabs>
        <w:rPr>
          <w:color w:val="DFDFDF" w:themeColor="background1"/>
          <w:sz w:val="4"/>
          <w:szCs w:val="4"/>
        </w:rPr>
      </w:pPr>
      <w:r w:rsidRPr="008E2C31">
        <w:rPr>
          <w:color w:val="DFDFDF" w:themeColor="background1"/>
          <w:sz w:val="4"/>
          <w:szCs w:val="4"/>
        </w:rPr>
        <w:t>#$stempel$#</w:t>
      </w:r>
    </w:p>
    <w:sectPr>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oppins">
    <w:panose1 w:val="02000000000000000000"/>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7C"/>
    <w:multiLevelType w:val="singleLevel"/>
    <w:tmpl w:val="488C91F0"/>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13BEB690"/>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F31E8BF0"/>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7930C0B8"/>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6AE085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A2CA9D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1A3E1FF6"/>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A31609A4"/>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A6E40656"/>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F09ADC64"/>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119839F6"/>
    <w:multiLevelType w:val="multilevel"/>
    <w:tmpl w:val="0798CA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1">
    <w:nsid w:val="13572777"/>
    <w:multiLevelType w:val="hybridMultilevel"/>
    <w:tmpl w:val="9E5820F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1">
    <w:nsid w:val="5455120C"/>
    <w:multiLevelType w:val="hybridMultilevel"/>
    <w:tmpl w:val="1C681E7E"/>
    <w:lvl w:ilvl="0">
      <w:start w:val="1"/>
      <w:numFmt w:val="decimal"/>
      <w:lvlText w:val="%1."/>
      <w:lvlJc w:val="left"/>
      <w:pPr>
        <w:ind w:left="720" w:hanging="360"/>
      </w:pPr>
      <w:rPr>
        <w:rFonts w:hint="default"/>
        <w:spacing w:val="-36"/>
        <w:w w:val="100"/>
        <w:position w:val="0"/>
        <w14:numForm w14:val="lining"/>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1">
    <w:nsid w:val="5455120D"/>
    <w:multiLevelType w:val="hybridMultilevel"/>
    <w:tmpl w:val="5455120D"/>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4"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AB3"/>
    <w:rsid w:val="0001242F"/>
    <w:rsid w:val="00016A2E"/>
    <w:rsid w:val="000841BA"/>
    <w:rsid w:val="000A2EF7"/>
    <w:rsid w:val="000B0984"/>
    <w:rsid w:val="000F2684"/>
    <w:rsid w:val="00136D7A"/>
    <w:rsid w:val="00160002"/>
    <w:rsid w:val="001B7044"/>
    <w:rsid w:val="001E7636"/>
    <w:rsid w:val="002043A5"/>
    <w:rsid w:val="00211A49"/>
    <w:rsid w:val="0024441C"/>
    <w:rsid w:val="00246629"/>
    <w:rsid w:val="003856B6"/>
    <w:rsid w:val="003C5ED1"/>
    <w:rsid w:val="004426AA"/>
    <w:rsid w:val="00451104"/>
    <w:rsid w:val="004865AC"/>
    <w:rsid w:val="004C715E"/>
    <w:rsid w:val="00531E89"/>
    <w:rsid w:val="0053658B"/>
    <w:rsid w:val="005803F8"/>
    <w:rsid w:val="005E18A1"/>
    <w:rsid w:val="00673523"/>
    <w:rsid w:val="006C2756"/>
    <w:rsid w:val="00710470"/>
    <w:rsid w:val="0072406B"/>
    <w:rsid w:val="007258EC"/>
    <w:rsid w:val="007A7196"/>
    <w:rsid w:val="007C1F22"/>
    <w:rsid w:val="007E4380"/>
    <w:rsid w:val="00816F3E"/>
    <w:rsid w:val="00821233"/>
    <w:rsid w:val="008B1413"/>
    <w:rsid w:val="008B450C"/>
    <w:rsid w:val="008C39EC"/>
    <w:rsid w:val="008E2C31"/>
    <w:rsid w:val="008F5ADF"/>
    <w:rsid w:val="009868D6"/>
    <w:rsid w:val="009C0B01"/>
    <w:rsid w:val="009D1AB3"/>
    <w:rsid w:val="00A07320"/>
    <w:rsid w:val="00A1327C"/>
    <w:rsid w:val="00AA2DCD"/>
    <w:rsid w:val="00AB2E92"/>
    <w:rsid w:val="00B060C5"/>
    <w:rsid w:val="00B076FB"/>
    <w:rsid w:val="00B90A10"/>
    <w:rsid w:val="00BB4AC7"/>
    <w:rsid w:val="00CA5B79"/>
    <w:rsid w:val="00CB2A86"/>
    <w:rsid w:val="00D167A1"/>
    <w:rsid w:val="00D73F73"/>
    <w:rsid w:val="00DF37C3"/>
    <w:rsid w:val="00E25770"/>
    <w:rsid w:val="00E91353"/>
    <w:rsid w:val="00F013A3"/>
    <w:rsid w:val="00F32F8F"/>
    <w:rsid w:val="00FA6372"/>
    <w:rsid w:val="00FC3E79"/>
    <w:rsid w:val="00FD7932"/>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5:chartTrackingRefBased/>
  <w15:docId w15:val="{00FB7213-47E8-4D05-B8E1-6F01D467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6B6"/>
    <w:pPr>
      <w:spacing w:after="80" w:line="240" w:lineRule="auto"/>
    </w:pPr>
    <w:rPr>
      <w:sz w:val="20"/>
    </w:rPr>
  </w:style>
  <w:style w:type="paragraph" w:styleId="Heading1">
    <w:name w:val="heading 1"/>
    <w:basedOn w:val="Normal"/>
    <w:next w:val="Normal"/>
    <w:link w:val="Kop1Char"/>
    <w:uiPriority w:val="9"/>
    <w:qFormat/>
    <w:rsid w:val="00E91353"/>
    <w:pPr>
      <w:spacing w:after="0"/>
      <w:outlineLvl w:val="0"/>
    </w:pPr>
    <w:rPr>
      <w:rFonts w:ascii="Calibri" w:hAnsi="Calibri"/>
      <w:b/>
      <w:sz w:val="28"/>
      <w:szCs w:val="28"/>
    </w:rPr>
  </w:style>
  <w:style w:type="paragraph" w:styleId="Heading2">
    <w:name w:val="heading 2"/>
    <w:basedOn w:val="Normal"/>
    <w:next w:val="Normal"/>
    <w:link w:val="Kop2Char"/>
    <w:uiPriority w:val="9"/>
    <w:semiHidden/>
    <w:unhideWhenUsed/>
    <w:qFormat/>
    <w:rsid w:val="000124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Kop3Char"/>
    <w:uiPriority w:val="9"/>
    <w:semiHidden/>
    <w:unhideWhenUsed/>
    <w:qFormat/>
    <w:rsid w:val="00E913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9">
    <w:name w:val="heading 9"/>
    <w:basedOn w:val="Normal"/>
    <w:next w:val="Normal"/>
    <w:link w:val="Kop9Char"/>
    <w:uiPriority w:val="9"/>
    <w:semiHidden/>
    <w:unhideWhenUsed/>
    <w:qFormat/>
    <w:rsid w:val="00012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dapuntKop1">
    <w:name w:val="AgendapuntKop1"/>
    <w:basedOn w:val="Normal"/>
    <w:qFormat/>
    <w:rsid w:val="0001242F"/>
    <w:pPr>
      <w:spacing w:before="360" w:after="240"/>
    </w:pPr>
    <w:rPr>
      <w:b/>
      <w:sz w:val="24"/>
    </w:rPr>
  </w:style>
  <w:style w:type="paragraph" w:customStyle="1" w:styleId="AgendapuntKop2">
    <w:name w:val="AgendapuntKop2"/>
    <w:basedOn w:val="Normal"/>
    <w:link w:val="AgendapuntKop2Char"/>
    <w:qFormat/>
    <w:rsid w:val="003C5ED1"/>
    <w:pPr>
      <w:spacing w:after="0"/>
    </w:pPr>
    <w:rPr>
      <w:b/>
      <w:caps/>
      <w:color w:val="000000" w:themeColor="text1"/>
    </w:rPr>
  </w:style>
  <w:style w:type="paragraph" w:customStyle="1" w:styleId="AgendapuntKop3">
    <w:name w:val="AgendapuntKop3"/>
    <w:basedOn w:val="Normal"/>
    <w:qFormat/>
    <w:rsid w:val="003C5ED1"/>
    <w:pPr>
      <w:spacing w:after="0"/>
    </w:pPr>
    <w:rPr>
      <w:color w:val="DFDFDF" w:themeColor="background1"/>
      <w:sz w:val="2"/>
    </w:rPr>
  </w:style>
  <w:style w:type="paragraph" w:customStyle="1" w:styleId="Tekstvaklabel">
    <w:name w:val="Tekstvaklabel"/>
    <w:basedOn w:val="Normal"/>
    <w:qFormat/>
    <w:rsid w:val="003856B6"/>
    <w:pPr>
      <w:spacing w:before="240" w:after="120"/>
    </w:pPr>
    <w:rPr>
      <w:b/>
    </w:rPr>
  </w:style>
  <w:style w:type="paragraph" w:customStyle="1" w:styleId="AgendapuntTitel">
    <w:name w:val="AgendapuntTitel"/>
    <w:basedOn w:val="Normal"/>
    <w:qFormat/>
    <w:rsid w:val="003856B6"/>
    <w:pPr>
      <w:tabs>
        <w:tab w:val="left" w:pos="567"/>
      </w:tabs>
      <w:spacing w:before="360" w:after="360"/>
    </w:pPr>
    <w:rPr>
      <w:b/>
    </w:rPr>
  </w:style>
  <w:style w:type="table" w:styleId="TableGrid">
    <w:name w:val="Table Grid"/>
    <w:basedOn w:val="TableNormal"/>
    <w:uiPriority w:val="39"/>
    <w:rsid w:val="002444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gendapuntKop2Char">
    <w:name w:val="AgendapuntKop2 Char"/>
    <w:link w:val="AgendapuntKop2"/>
    <w:rsid w:val="003C5ED1"/>
    <w:rPr>
      <w:b/>
      <w:caps/>
      <w:color w:val="000000" w:themeColor="text1"/>
    </w:rPr>
  </w:style>
  <w:style w:type="character" w:customStyle="1" w:styleId="Kop1Char">
    <w:name w:val="Kop 1 Char"/>
    <w:basedOn w:val="DefaultParagraphFont"/>
    <w:link w:val="Heading1"/>
    <w:uiPriority w:val="9"/>
    <w:rsid w:val="00E91353"/>
    <w:rPr>
      <w:rFonts w:ascii="Calibri" w:hAnsi="Calibri"/>
      <w:b/>
      <w:sz w:val="28"/>
      <w:szCs w:val="28"/>
    </w:rPr>
  </w:style>
  <w:style w:type="character" w:customStyle="1" w:styleId="Kop3Char">
    <w:name w:val="Kop 3 Char"/>
    <w:basedOn w:val="DefaultParagraphFont"/>
    <w:link w:val="Heading3"/>
    <w:uiPriority w:val="9"/>
    <w:semiHidden/>
    <w:rsid w:val="00E91353"/>
    <w:rPr>
      <w:rFonts w:asciiTheme="majorHAnsi" w:eastAsiaTheme="majorEastAsia" w:hAnsiTheme="majorHAnsi" w:cstheme="majorBidi"/>
      <w:color w:val="1F4D78" w:themeColor="accent1" w:themeShade="7F"/>
      <w:sz w:val="24"/>
      <w:szCs w:val="24"/>
    </w:rPr>
  </w:style>
  <w:style w:type="character" w:customStyle="1" w:styleId="Kop2Char">
    <w:name w:val="Kop 2 Char"/>
    <w:basedOn w:val="DefaultParagraphFont"/>
    <w:link w:val="Heading2"/>
    <w:uiPriority w:val="9"/>
    <w:semiHidden/>
    <w:rsid w:val="0001242F"/>
    <w:rPr>
      <w:rFonts w:asciiTheme="majorHAnsi" w:eastAsiaTheme="majorEastAsia" w:hAnsiTheme="majorHAnsi" w:cstheme="majorBidi"/>
      <w:color w:val="2E74B5" w:themeColor="accent1" w:themeShade="BF"/>
      <w:sz w:val="26"/>
      <w:szCs w:val="26"/>
    </w:rPr>
  </w:style>
  <w:style w:type="character" w:customStyle="1" w:styleId="Kop9Char">
    <w:name w:val="Kop 9 Char"/>
    <w:basedOn w:val="DefaultParagraphFont"/>
    <w:link w:val="Heading9"/>
    <w:uiPriority w:val="9"/>
    <w:semiHidden/>
    <w:rsid w:val="0001242F"/>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4865AC"/>
    <w:pPr>
      <w:tabs>
        <w:tab w:val="left" w:pos="440"/>
        <w:tab w:val="right" w:leader="dot" w:pos="9062"/>
      </w:tabs>
      <w:spacing w:after="100"/>
      <w:ind w:left="170"/>
    </w:pPr>
    <w:rPr>
      <w:b/>
      <w:caps/>
    </w:rPr>
  </w:style>
  <w:style w:type="character" w:styleId="Hyperlink">
    <w:name w:val="Hyperlink"/>
    <w:basedOn w:val="DefaultParagraphFont"/>
    <w:uiPriority w:val="99"/>
    <w:unhideWhenUsed/>
    <w:rsid w:val="0001242F"/>
    <w:rPr>
      <w:color w:val="0563C1" w:themeColor="hyperlink"/>
      <w:u w:val="single"/>
    </w:rPr>
  </w:style>
  <w:style w:type="paragraph" w:styleId="TOC1">
    <w:name w:val="toc 1"/>
    <w:basedOn w:val="Normal"/>
    <w:next w:val="Normal"/>
    <w:autoRedefine/>
    <w:uiPriority w:val="39"/>
    <w:semiHidden/>
    <w:unhideWhenUsed/>
    <w:rsid w:val="004865AC"/>
    <w:pPr>
      <w:spacing w:before="100" w:after="100"/>
    </w:pPr>
    <w:rPr>
      <w:b/>
      <w:caps/>
    </w:rPr>
  </w:style>
  <w:style w:type="paragraph" w:styleId="Header">
    <w:name w:val="header"/>
    <w:basedOn w:val="Normal"/>
    <w:link w:val="KoptekstChar"/>
    <w:uiPriority w:val="99"/>
    <w:unhideWhenUsed/>
    <w:rsid w:val="007C1F22"/>
    <w:pPr>
      <w:tabs>
        <w:tab w:val="center" w:pos="4536"/>
        <w:tab w:val="right" w:pos="9072"/>
      </w:tabs>
      <w:spacing w:after="0"/>
    </w:pPr>
  </w:style>
  <w:style w:type="character" w:customStyle="1" w:styleId="KoptekstChar">
    <w:name w:val="Koptekst Char"/>
    <w:basedOn w:val="DefaultParagraphFont"/>
    <w:link w:val="Header"/>
    <w:uiPriority w:val="99"/>
    <w:rsid w:val="007C1F22"/>
    <w:rPr>
      <w:sz w:val="20"/>
    </w:rPr>
  </w:style>
  <w:style w:type="paragraph" w:styleId="Footer">
    <w:name w:val="footer"/>
    <w:basedOn w:val="Normal"/>
    <w:link w:val="VoettekstChar"/>
    <w:uiPriority w:val="99"/>
    <w:unhideWhenUsed/>
    <w:rsid w:val="007C1F22"/>
    <w:pPr>
      <w:tabs>
        <w:tab w:val="center" w:pos="4536"/>
        <w:tab w:val="right" w:pos="9072"/>
      </w:tabs>
      <w:spacing w:after="0"/>
    </w:pPr>
  </w:style>
  <w:style w:type="character" w:customStyle="1" w:styleId="VoettekstChar">
    <w:name w:val="Voettekst Char"/>
    <w:basedOn w:val="DefaultParagraphFont"/>
    <w:link w:val="Footer"/>
    <w:uiPriority w:val="99"/>
    <w:rsid w:val="007C1F22"/>
    <w:rPr>
      <w:sz w:val="20"/>
    </w:rPr>
  </w:style>
  <w:style w:type="table" w:customStyle="1" w:styleId="Tabelraster1">
    <w:name w:val="Tabelraster1"/>
    <w:basedOn w:val="TableNormal"/>
    <w:next w:val="TableGrid"/>
    <w:uiPriority w:val="59"/>
    <w:rsid w:val="008F5AD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4865AC"/>
    <w:pPr>
      <w:spacing w:after="100"/>
      <w:ind w:left="1106" w:hanging="709"/>
    </w:pPr>
  </w:style>
  <w:style w:type="table" w:customStyle="1" w:styleId="table">
    <w:name w:val="table"/>
    <w:basedOn w:val="TableNorma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389</Words>
  <Characters>2145</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CBS Notulen</vt:lpstr>
    </vt:vector>
  </TitlesOfParts>
  <Company/>
  <LinksUpToDate>false</LinksUpToDate>
  <CharactersWithSpaces>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Notulen</dc:title>
  <dc:creator>Evy Van De Putte</dc:creator>
  <cp:lastModifiedBy>De Roo Greet</cp:lastModifiedBy>
  <cp:revision>28</cp:revision>
  <dcterms:created xsi:type="dcterms:W3CDTF">2018-11-30T08:25:00Z</dcterms:created>
  <dcterms:modified xsi:type="dcterms:W3CDTF">2021-03-19T13:34:00Z</dcterms:modified>
</cp:coreProperties>
</file>