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2.0 -->
  <w:body>
    <w:p w:rsidR="003856B6" w:rsidP="003856B6" w14:paraId="463B7D68" w14:textId="525F7E39">
      <w:pPr>
        <w:rPr>
          <w:szCs w:val="20"/>
        </w:rPr>
      </w:pPr>
      <w:r>
        <w:rPr>
          <w:rFonts w:cs="Arial"/>
          <w:noProof/>
          <w:szCs w:val="20"/>
          <w:lang w:eastAsia="nl-BE"/>
        </w:rPr>
        <w:drawing>
          <wp:inline distT="0" distB="0" distL="0" distR="0">
            <wp:extent cx="1281600" cy="574242"/>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AGBDeinze_Positief_CMYK.jpg"/>
                    <pic:cNvPicPr/>
                  </pic:nvPicPr>
                  <pic:blipFill>
                    <a:blip xmlns:r="http://schemas.openxmlformats.org/officeDocument/2006/relationships" r:embed="rId4" cstate="print">
                      <a:extLst>
                        <a:ext xmlns:a="http://schemas.openxmlformats.org/drawingml/2006/main" uri="{28A0092B-C50C-407E-A947-70E740481C1C}">
                          <a14:useLocalDpi xmlns:a14="http://schemas.microsoft.com/office/drawing/2010/main" val="0"/>
                        </a:ext>
                      </a:extLst>
                    </a:blip>
                    <a:stretch>
                      <a:fillRect/>
                    </a:stretch>
                  </pic:blipFill>
                  <pic:spPr>
                    <a:xfrm>
                      <a:off x="0" y="0"/>
                      <a:ext cx="1281600" cy="574242"/>
                    </a:xfrm>
                    <a:prstGeom prst="rect">
                      <a:avLst/>
                    </a:prstGeom>
                  </pic:spPr>
                </pic:pic>
              </a:graphicData>
            </a:graphic>
          </wp:inline>
        </w:drawing>
      </w:r>
    </w:p>
    <w:p w:rsidR="003856B6" w:rsidRPr="001E7636" w:rsidP="003856B6" w14:paraId="7346CD14" w14:textId="16B23D06">
      <w:pPr>
        <w:pStyle w:val="Heading1"/>
        <w:rPr>
          <w:rFonts w:ascii="Poppins" w:hAnsi="Poppins" w:cs="Poppins"/>
          <w:sz w:val="24"/>
          <w:szCs w:val="24"/>
        </w:rPr>
      </w:pPr>
      <w:r>
        <w:rPr>
          <w:rFonts w:ascii="Poppins" w:hAnsi="Poppins" w:cs="Poppins"/>
          <w:sz w:val="24"/>
          <w:szCs w:val="24"/>
        </w:rPr>
        <w:t>Raad van bestuur</w:t>
      </w:r>
      <w:r w:rsidR="00136D7A">
        <w:rPr>
          <w:rFonts w:ascii="Poppins" w:hAnsi="Poppins" w:cs="Poppins"/>
          <w:sz w:val="24"/>
          <w:szCs w:val="24"/>
        </w:rPr>
        <w:t xml:space="preserve"> AGB stad Deinze</w:t>
      </w:r>
      <w:r w:rsidR="00BB4AC7">
        <w:rPr>
          <w:rFonts w:ascii="Poppins" w:hAnsi="Poppins" w:cs="Poppins"/>
          <w:sz w:val="24"/>
          <w:szCs w:val="24"/>
        </w:rPr>
        <w:t xml:space="preserve"> - </w:t>
      </w:r>
      <w:r w:rsidRPr="009868D6" w:rsidR="00BB4AC7">
        <w:rPr>
          <w:rFonts w:ascii="Poppins" w:hAnsi="Poppins" w:cs="Poppins"/>
          <w:sz w:val="24"/>
          <w:szCs w:val="24"/>
        </w:rPr>
        <w:t>besloten</w:t>
      </w:r>
      <w:r w:rsidRPr="002043A5" w:rsidR="00BB4AC7">
        <w:rPr>
          <w:rFonts w:ascii="Poppins" w:hAnsi="Poppins" w:cs="Poppins"/>
          <w:sz w:val="24"/>
          <w:szCs w:val="24"/>
        </w:rPr>
        <w:t xml:space="preserve"> zitting</w:t>
      </w:r>
    </w:p>
    <w:p w:rsidR="003856B6" w:rsidRPr="001E7636" w:rsidP="003856B6" w14:paraId="7E367159" w14:textId="22595508">
      <w:pPr>
        <w:pStyle w:val="Heading1"/>
        <w:rPr>
          <w:rFonts w:ascii="Poppins" w:hAnsi="Poppins" w:cs="Poppins"/>
          <w:sz w:val="24"/>
          <w:szCs w:val="24"/>
        </w:rPr>
      </w:pPr>
      <w:r>
        <w:rPr>
          <w:rFonts w:ascii="Poppins" w:hAnsi="Poppins" w:cs="Poppins"/>
          <w:sz w:val="24"/>
          <w:szCs w:val="24"/>
        </w:rPr>
        <w:t xml:space="preserve">Uittreksel uit het verslag </w:t>
      </w:r>
      <w:r w:rsidRPr="001E7636">
        <w:rPr>
          <w:rFonts w:ascii="Poppins" w:hAnsi="Poppins" w:cs="Poppins"/>
          <w:sz w:val="24"/>
          <w:szCs w:val="24"/>
        </w:rPr>
        <w:t xml:space="preserve">van de vergadering van </w:t>
      </w:r>
      <w:r>
        <w:rPr>
          <w:rFonts w:ascii="Poppins" w:hAnsi="Poppins" w:cs="Poppins"/>
          <w:noProof/>
          <w:sz w:val="24"/>
          <w:szCs w:val="24"/>
        </w:rPr>
        <w:t>25 maart 2025</w:t>
      </w:r>
    </w:p>
    <w:p w:rsidR="003856B6" w:rsidP="003856B6" w14:paraId="09A7518E" w14:textId="77777777">
      <w:pPr>
        <w:rPr>
          <w:szCs w:val="20"/>
        </w:rPr>
      </w:pPr>
    </w:p>
    <w:p w:rsidR="003856B6" w:rsidRPr="00E91353" w:rsidP="003856B6" w14:paraId="719FC98D" w14:textId="4C2F47B7">
      <w:pPr>
        <w:rPr>
          <w:b/>
          <w:szCs w:val="20"/>
        </w:rPr>
      </w:pPr>
      <w:r>
        <w:rPr>
          <w:b/>
          <w:szCs w:val="20"/>
        </w:rPr>
        <w:t>Zijn aanwezig:</w:t>
      </w:r>
      <w:r>
        <w:rPr>
          <w:b/>
          <w:szCs w:val="20"/>
        </w:rPr>
        <w:br/>
      </w:r>
      <w:r>
        <w:rPr>
          <w:noProof/>
        </w:rPr>
        <w:t>Rutger De Reu, voorzitter AGB stad Deinze</w:t>
      </w:r>
    </w:p>
    <w:p w:rsidP="003856B6">
      <w:pPr>
        <w:rPr>
          <w:noProof/>
        </w:rPr>
      </w:pPr>
      <w:r>
        <w:rPr>
          <w:noProof/>
        </w:rPr>
        <w:t>Filip Vervaeke, ondervoorzitter</w:t>
      </w:r>
    </w:p>
    <w:p w:rsidP="003856B6">
      <w:pPr>
        <w:rPr>
          <w:noProof/>
        </w:rPr>
      </w:pPr>
      <w:r>
        <w:rPr>
          <w:noProof/>
        </w:rPr>
        <w:t>Pascal Cocquyt, Olaf Evrard, Caroline Haerens, Kristof Herteleer, Matthias Neirynck, Lieven Tack, Zoë Van Doorne, Christel Van Hoecke, Bart Vermaercke, Delphine Verschelde, leden van de raad van bestuur AGB Stad Deinze</w:t>
      </w:r>
    </w:p>
    <w:p w:rsidP="003856B6">
      <w:pPr>
        <w:rPr>
          <w:noProof/>
        </w:rPr>
      </w:pPr>
      <w:r>
        <w:rPr>
          <w:noProof/>
        </w:rPr>
        <w:t>Sofie D'hondt, lid van het directiecomité AGB Stad Deinze (niet-stemgerechtigd)</w:t>
      </w:r>
    </w:p>
    <w:p w:rsidP="003856B6">
      <w:pPr>
        <w:rPr>
          <w:noProof/>
        </w:rPr>
      </w:pPr>
      <w:r>
        <w:rPr>
          <w:noProof/>
        </w:rPr>
        <w:t>Stefanie De Vlieger, secretaris AGB Stad Deinze</w:t>
      </w:r>
    </w:p>
    <w:p w:rsidR="003856B6" w:rsidP="003856B6" w14:paraId="29B95293" w14:textId="6B84540D">
      <w:pPr>
        <w:rPr>
          <w:b/>
          <w:szCs w:val="20"/>
        </w:rPr>
      </w:pPr>
      <w:r>
        <w:rPr>
          <w:b/>
        </w:rPr>
        <w:t>Zijn a</w:t>
      </w:r>
      <w:r w:rsidRPr="00E91353">
        <w:rPr>
          <w:b/>
        </w:rPr>
        <w:t>fwezig</w:t>
      </w:r>
      <w:r>
        <w:rPr>
          <w:b/>
        </w:rPr>
        <w:t>:</w:t>
      </w:r>
      <w:r>
        <w:rPr>
          <w:b/>
        </w:rPr>
        <w:br/>
      </w:r>
      <w:r>
        <w:rPr>
          <w:noProof/>
        </w:rPr>
        <w:t>Gunnar Claeys, Jan Vermeulen, leden van het directiecomité AGB Stad Deinze (niet-stemgerechtigd)</w:t>
      </w:r>
    </w:p>
    <w:p w:rsidR="0024441C" w:rsidRPr="00451104" w:rsidP="00FC3E79" w14:paraId="45A19609" w14:textId="10566430">
      <w:pPr>
        <w:pStyle w:val="AgendapuntTitel"/>
        <w:rPr>
          <w:rFonts w:ascii="Poppins" w:hAnsi="Poppins" w:cs="Poppins"/>
          <w:sz w:val="24"/>
          <w:szCs w:val="24"/>
        </w:rPr>
      </w:pPr>
      <w:bookmarkStart w:id="0" w:name="_Toc531333211"/>
      <w:r w:rsidRPr="00451104" w:rsidR="00160002">
        <w:rPr>
          <w:rFonts w:ascii="Poppins" w:hAnsi="Poppins" w:cs="Poppins"/>
          <w:noProof/>
          <w:sz w:val="24"/>
          <w:szCs w:val="24"/>
        </w:rPr>
        <w:t>Retributiereglement dranken en versnaperingen - aanpassing</w:t>
      </w:r>
      <w:bookmarkEnd w:id="0"/>
    </w:p>
    <w:p w:rsidR="00160002" w:rsidRPr="00FC3E79" w:rsidP="00160002" w14:paraId="6305BFCB" w14:textId="2331D737">
      <w:pPr>
        <w:pStyle w:val="Tekstvaklabel"/>
      </w:pPr>
      <w:r>
        <w:rPr>
          <w:noProof/>
        </w:rPr>
        <w:t>Regelgeving</w:t>
      </w:r>
    </w:p>
    <w:p>
      <w:pPr>
        <w:rPr>
          <w:noProof/>
        </w:rPr>
      </w:pPr>
      <w:r>
        <w:rPr>
          <w:noProof/>
        </w:rPr>
        <w:t>De gecoördineerde grondwet van 17 februari 1994, artikel 173.</w:t>
      </w:r>
    </w:p>
    <w:p>
      <w:pPr>
        <w:rPr>
          <w:noProof/>
        </w:rPr>
      </w:pPr>
      <w:r>
        <w:rPr>
          <w:noProof/>
        </w:rPr>
        <w:t>Het decreet van 22 december 2017 over het lokaal bestuur en latere wijzigingen, artikel 235 § 1 over de bevoegdheden van de Raad van Bestuur van het AGB en artikel 240 § 4 over de tariefbepaling.</w:t>
      </w:r>
    </w:p>
    <w:p>
      <w:pPr>
        <w:rPr>
          <w:noProof/>
        </w:rPr>
      </w:pPr>
      <w:r>
        <w:rPr>
          <w:noProof/>
        </w:rPr>
        <w:t>Het bestuursdecreet van 7 december 2018.</w:t>
      </w:r>
    </w:p>
    <w:p>
      <w:pPr>
        <w:rPr>
          <w:noProof/>
        </w:rPr>
      </w:pPr>
      <w:r>
        <w:rPr>
          <w:noProof/>
        </w:rPr>
        <w:t>De statuten van het autonoom gemeentebedrijf AGB Stad Deinze, goedgekeurd door de raad van bestuur op 25 maart 2025 en voor te leggen aan de gemeenteraad op 27 maart 2027.</w:t>
      </w:r>
    </w:p>
    <w:p w:rsidR="00160002" w:rsidP="003856B6" w14:paraId="6E9BB77E" w14:textId="1A1FC4C4">
      <w:pPr>
        <w:pStyle w:val="Tekstvaklabel"/>
        <w:rPr>
          <w:noProof/>
        </w:rPr>
      </w:pPr>
      <w:r w:rsidRPr="003856B6">
        <w:t>Bijlage</w:t>
      </w:r>
    </w:p>
    <w:p w:rsidRPr="003856B6">
      <w:r w:rsidRPr="003856B6">
        <w:t>De beslissing van de raad van bestuur van 21 maart 2022 inzake goedkeuring van het retributiereglement dranken en versnaperingen - aanpassing.</w:t>
      </w:r>
    </w:p>
    <w:p w:rsidRPr="003856B6">
      <w:r w:rsidRPr="003856B6">
        <w:t>De beslissing van het directiecomité van 11 maart 2025 inzake de raamovereenkomst levering dranken 2022-2025 - goedkeuring prijsaanpassing per 1 april 2025.</w:t>
      </w:r>
    </w:p>
    <w:p w:rsidRPr="003856B6">
      <w:r w:rsidRPr="003856B6">
        <w:t>De lijst van de dranken met de berekende geïndexeerde tarieven + de berekening van de prijsstijging en de posten met verlies + berekening nieuwe retributie met prijsstijging van 5 % tot 30 % op de nieuw geïndexeerde tarieven.</w:t>
      </w:r>
    </w:p>
    <w:p w:rsidR="00160002" w:rsidRPr="00FC3E79" w:rsidP="00160002" w14:paraId="114B1F7C" w14:textId="5DF37CC7">
      <w:pPr>
        <w:pStyle w:val="Tekstvaklabel"/>
      </w:pPr>
      <w:r>
        <w:rPr>
          <w:noProof/>
        </w:rPr>
        <w:t>Motivering</w:t>
      </w:r>
    </w:p>
    <w:p>
      <w:pPr>
        <w:rPr>
          <w:noProof/>
        </w:rPr>
      </w:pPr>
      <w:r>
        <w:rPr>
          <w:noProof/>
        </w:rPr>
        <w:t xml:space="preserve">Naar aanleiding van de indexering van de prijzen van de leverancier voor het leveren van dranken met ingang van </w:t>
      </w:r>
      <w:r>
        <w:rPr>
          <w:noProof/>
          <w:shd w:val="clear" w:color="auto" w:fill="FFFFFF"/>
        </w:rPr>
        <w:t>1 april 2025,</w:t>
      </w:r>
      <w:r>
        <w:rPr>
          <w:noProof/>
        </w:rPr>
        <w:t xml:space="preserve"> zoals goedgekeurd door het directiecomité op 11 maart 2025, is het noodzakelijk om de tarieven voor het leveren van dranken zonder bediening op te trekken. </w:t>
      </w:r>
    </w:p>
    <w:p>
      <w:pPr>
        <w:rPr>
          <w:noProof/>
        </w:rPr>
      </w:pPr>
      <w:r>
        <w:rPr>
          <w:noProof/>
        </w:rPr>
        <w:t>De geïndexeerde prijzen passen namelijk niet meer binnen de tarieven van de retributie op verkoop van dranken zonder bediening, zodat al deze dranken met verlies worden verkocht. De verklaring hiervoor is dat bij de opmaak van de retributie beslist werd om voor de aperitieven slechts een winstmarge van 5 % op de aankoopprijs van de offerteprijzen te nemen. Op de (meeste) andere dranken werd toen een winstmarge van 20 % genomen.</w:t>
      </w:r>
    </w:p>
    <w:p>
      <w:pPr>
        <w:rPr>
          <w:noProof/>
        </w:rPr>
      </w:pPr>
      <w:r>
        <w:rPr>
          <w:noProof/>
        </w:rPr>
        <w:t>Gelet op de sterke prijsstijging van 2023 (11,98 %), de prijsstijging van 2024 (6,21 %) en nu (2,78 %), is het logisch dat de voorziene winstmarge van de dranken is verdwenen, en dat alle dranken nu met verlies worden verkocht. Er wordt voorgesteld om de tarieven (enkel voor leveren dranken zonder bediening) aan te passen met een winstmarge van 10 % op de nieuw geïndexeerde eenheidsprijzen van de leverancier.</w:t>
      </w:r>
    </w:p>
    <w:p>
      <w:pPr>
        <w:rPr>
          <w:noProof/>
        </w:rPr>
      </w:pPr>
      <w:r>
        <w:rPr>
          <w:noProof/>
        </w:rPr>
        <w:t>De retributie op de dranken met bediening wordt nu niet aangepast omdat deze nu niet verlieslatend is, en omdat in het najaar een nieuwe aanbesteding voor de dranken wordt georganiseerd, waarna de retributie voor dranken en versnaperingen op basis van de prijzen van de nieuwe aanbesteding opnieuw voor 6 jaar kan vastgesteld worden.</w:t>
      </w:r>
    </w:p>
    <w:p>
      <w:pPr>
        <w:rPr>
          <w:noProof/>
        </w:rPr>
      </w:pPr>
      <w:r>
        <w:rPr>
          <w:noProof/>
        </w:rPr>
        <w:t>De nieuwe prijzen voor de dranken zonder bediening zullen ingaan vanaf 1 april 2025.</w:t>
      </w:r>
    </w:p>
    <w:p w:rsidR="00160002" w:rsidP="00160002" w14:paraId="0A038276" w14:textId="2F9BA1D5">
      <w:pPr>
        <w:pStyle w:val="Tekstvaklabel"/>
        <w:rPr>
          <w:noProof/>
        </w:rPr>
      </w:pPr>
      <w:r>
        <w:rPr>
          <w:noProof/>
        </w:rPr>
        <w:t>Financiële gevolgen</w:t>
      </w:r>
    </w:p>
    <w:p>
      <w:pPr>
        <w:rPr>
          <w:noProof/>
        </w:rPr>
      </w:pPr>
      <w:r>
        <w:rPr>
          <w:noProof/>
        </w:rPr>
        <w:t>Deze beslissing valt niet onder de visumplicht. Het krediet om deze beslissing uit te voeren is voorzien op:</w:t>
      </w:r>
    </w:p>
    <w:tbl>
      <w:tblPr>
        <w:tblStyle w:val="table"/>
        <w:tblW w:w="7920"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Look w:val="05E0"/>
      </w:tblPr>
      <w:tblGrid>
        <w:gridCol w:w="2124"/>
        <w:gridCol w:w="5796"/>
      </w:tblGrid>
      <w:tr>
        <w:tblPrEx>
          <w:tblW w:w="7920"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Look w:val="05E0"/>
        </w:tblPrEx>
        <w:tc>
          <w:tcPr>
            <w:tcW w:w="2130" w:type="dxa"/>
            <w:tcBorders>
              <w:bottom w:val="inset" w:sz="6" w:space="0" w:color="808080"/>
              <w:right w:val="inset" w:sz="6" w:space="0" w:color="808080"/>
            </w:tcBorders>
            <w:noWrap w:val="0"/>
            <w:tcMar>
              <w:top w:w="0" w:type="dxa"/>
              <w:left w:w="0" w:type="dxa"/>
              <w:bottom w:w="0" w:type="dxa"/>
              <w:right w:w="0" w:type="dxa"/>
            </w:tcMar>
            <w:vAlign w:val="top"/>
            <w:hideMark/>
          </w:tcPr>
          <w:p>
            <w:pPr>
              <w:rPr>
                <w:noProof/>
              </w:rPr>
            </w:pPr>
            <w:r>
              <w:rPr>
                <w:noProof/>
              </w:rPr>
              <w:t>meerjarenplan 2020-2025</w:t>
            </w:r>
          </w:p>
        </w:tc>
        <w:tc>
          <w:tcPr>
            <w:tcW w:w="5820" w:type="dxa"/>
            <w:tcBorders>
              <w:left w:val="inset" w:sz="6" w:space="0" w:color="808080"/>
              <w:bottom w:val="inset" w:sz="6" w:space="0" w:color="808080"/>
            </w:tcBorders>
            <w:noWrap w:val="0"/>
            <w:tcMar>
              <w:top w:w="0" w:type="dxa"/>
              <w:left w:w="0" w:type="dxa"/>
              <w:bottom w:w="0" w:type="dxa"/>
              <w:right w:w="0" w:type="dxa"/>
            </w:tcMar>
            <w:vAlign w:val="top"/>
            <w:hideMark/>
          </w:tcPr>
          <w:p>
            <w:pPr>
              <w:rPr>
                <w:noProof/>
              </w:rPr>
            </w:pPr>
            <w:r>
              <w:rPr>
                <w:noProof/>
              </w:rPr>
              <w:t>exploitatie</w:t>
            </w:r>
          </w:p>
        </w:tc>
      </w:tr>
      <w:tr>
        <w:tblPrEx>
          <w:tblW w:w="7920" w:type="dxa"/>
          <w:tblCellMar>
            <w:top w:w="0" w:type="dxa"/>
            <w:left w:w="0" w:type="dxa"/>
            <w:bottom w:w="0" w:type="dxa"/>
            <w:right w:w="0" w:type="dxa"/>
          </w:tblCellMar>
          <w:tblLook w:val="05E0"/>
        </w:tblPrEx>
        <w:tc>
          <w:tcPr>
            <w:tcW w:w="2130"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pPr>
              <w:rPr>
                <w:noProof/>
              </w:rPr>
            </w:pPr>
            <w:r>
              <w:rPr>
                <w:noProof/>
              </w:rPr>
              <w:t>jaar</w:t>
            </w:r>
          </w:p>
        </w:tc>
        <w:tc>
          <w:tcPr>
            <w:tcW w:w="5820" w:type="dxa"/>
            <w:tcBorders>
              <w:top w:val="inset" w:sz="6" w:space="0" w:color="808080"/>
              <w:left w:val="inset" w:sz="6" w:space="0" w:color="808080"/>
              <w:bottom w:val="inset" w:sz="6" w:space="0" w:color="808080"/>
            </w:tcBorders>
            <w:noWrap w:val="0"/>
            <w:tcMar>
              <w:top w:w="0" w:type="dxa"/>
              <w:left w:w="0" w:type="dxa"/>
              <w:bottom w:w="0" w:type="dxa"/>
              <w:right w:w="0" w:type="dxa"/>
            </w:tcMar>
            <w:vAlign w:val="top"/>
            <w:hideMark/>
          </w:tcPr>
          <w:p>
            <w:pPr>
              <w:rPr>
                <w:noProof/>
              </w:rPr>
            </w:pPr>
            <w:r>
              <w:rPr>
                <w:noProof/>
              </w:rPr>
              <w:t>2025</w:t>
            </w:r>
          </w:p>
        </w:tc>
      </w:tr>
      <w:tr>
        <w:tblPrEx>
          <w:tblW w:w="7920" w:type="dxa"/>
          <w:tblCellMar>
            <w:top w:w="0" w:type="dxa"/>
            <w:left w:w="0" w:type="dxa"/>
            <w:bottom w:w="0" w:type="dxa"/>
            <w:right w:w="0" w:type="dxa"/>
          </w:tblCellMar>
          <w:tblLook w:val="05E0"/>
        </w:tblPrEx>
        <w:tc>
          <w:tcPr>
            <w:tcW w:w="2130"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pPr>
              <w:rPr>
                <w:noProof/>
              </w:rPr>
            </w:pPr>
            <w:r>
              <w:rPr>
                <w:noProof/>
              </w:rPr>
              <w:t>beleidsitem</w:t>
            </w:r>
          </w:p>
        </w:tc>
        <w:tc>
          <w:tcPr>
            <w:tcW w:w="5820" w:type="dxa"/>
            <w:tcBorders>
              <w:top w:val="inset" w:sz="6" w:space="0" w:color="808080"/>
              <w:left w:val="inset" w:sz="6" w:space="0" w:color="808080"/>
              <w:bottom w:val="inset" w:sz="6" w:space="0" w:color="808080"/>
            </w:tcBorders>
            <w:noWrap w:val="0"/>
            <w:tcMar>
              <w:top w:w="0" w:type="dxa"/>
              <w:left w:w="0" w:type="dxa"/>
              <w:bottom w:w="0" w:type="dxa"/>
              <w:right w:w="0" w:type="dxa"/>
            </w:tcMar>
            <w:vAlign w:val="top"/>
            <w:hideMark/>
          </w:tcPr>
          <w:p>
            <w:pPr>
              <w:rPr>
                <w:noProof/>
              </w:rPr>
            </w:pPr>
            <w:r>
              <w:rPr>
                <w:noProof/>
              </w:rPr>
              <w:t>011900 - Dienstencentrum (KP HOR)</w:t>
            </w:r>
            <w:r>
              <w:rPr>
                <w:noProof/>
              </w:rPr>
              <w:br/>
            </w:r>
            <w:r>
              <w:rPr>
                <w:noProof/>
              </w:rPr>
              <w:t>070001 - Museum van Deinze en de Leiestreek</w:t>
            </w:r>
            <w:r>
              <w:rPr>
                <w:noProof/>
              </w:rPr>
              <w:br/>
            </w:r>
            <w:r>
              <w:rPr>
                <w:noProof/>
              </w:rPr>
              <w:t>070102 - Brielpoort</w:t>
            </w:r>
            <w:r>
              <w:rPr>
                <w:noProof/>
              </w:rPr>
              <w:br/>
            </w:r>
            <w:r>
              <w:rPr>
                <w:noProof/>
              </w:rPr>
              <w:t>070500 - Gemeenschapscentrum (Rekkelinge)</w:t>
            </w:r>
            <w:r>
              <w:rPr>
                <w:noProof/>
              </w:rPr>
              <w:br/>
            </w:r>
            <w:r>
              <w:rPr>
                <w:noProof/>
              </w:rPr>
              <w:t>074201 - Palaestra</w:t>
            </w:r>
            <w:r>
              <w:rPr>
                <w:noProof/>
              </w:rPr>
              <w:br/>
            </w:r>
            <w:r>
              <w:rPr>
                <w:noProof/>
              </w:rPr>
              <w:t>074202 - Sint-Pieters</w:t>
            </w:r>
            <w:r>
              <w:rPr>
                <w:noProof/>
              </w:rPr>
              <w:br/>
            </w:r>
            <w:r>
              <w:rPr>
                <w:noProof/>
              </w:rPr>
              <w:t>074207 - Sportzaal Landegem</w:t>
            </w:r>
            <w:r>
              <w:rPr>
                <w:noProof/>
              </w:rPr>
              <w:br/>
            </w:r>
            <w:r>
              <w:rPr>
                <w:noProof/>
              </w:rPr>
              <w:t>075201 - Brieljant</w:t>
            </w:r>
          </w:p>
        </w:tc>
      </w:tr>
      <w:tr>
        <w:tblPrEx>
          <w:tblW w:w="7920" w:type="dxa"/>
          <w:tblCellMar>
            <w:top w:w="0" w:type="dxa"/>
            <w:left w:w="0" w:type="dxa"/>
            <w:bottom w:w="0" w:type="dxa"/>
            <w:right w:w="0" w:type="dxa"/>
          </w:tblCellMar>
          <w:tblLook w:val="05E0"/>
        </w:tblPrEx>
        <w:tc>
          <w:tcPr>
            <w:tcW w:w="2130"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pPr>
              <w:rPr>
                <w:noProof/>
              </w:rPr>
            </w:pPr>
            <w:r>
              <w:rPr>
                <w:noProof/>
              </w:rPr>
              <w:t>algemene rekening</w:t>
            </w:r>
          </w:p>
        </w:tc>
        <w:tc>
          <w:tcPr>
            <w:tcW w:w="5820" w:type="dxa"/>
            <w:tcBorders>
              <w:top w:val="inset" w:sz="6" w:space="0" w:color="808080"/>
              <w:left w:val="inset" w:sz="6" w:space="0" w:color="808080"/>
              <w:bottom w:val="inset" w:sz="6" w:space="0" w:color="808080"/>
            </w:tcBorders>
            <w:noWrap w:val="0"/>
            <w:tcMar>
              <w:top w:w="0" w:type="dxa"/>
              <w:left w:w="0" w:type="dxa"/>
              <w:bottom w:w="0" w:type="dxa"/>
              <w:right w:w="0" w:type="dxa"/>
            </w:tcMar>
            <w:vAlign w:val="top"/>
            <w:hideMark/>
          </w:tcPr>
          <w:p>
            <w:pPr>
              <w:rPr>
                <w:noProof/>
              </w:rPr>
            </w:pPr>
            <w:r>
              <w:rPr>
                <w:noProof/>
              </w:rPr>
              <w:t>700001 - opbrengsten cafetaria</w:t>
            </w:r>
          </w:p>
        </w:tc>
      </w:tr>
      <w:tr>
        <w:tblPrEx>
          <w:tblW w:w="7920" w:type="dxa"/>
          <w:tblCellMar>
            <w:top w:w="0" w:type="dxa"/>
            <w:left w:w="0" w:type="dxa"/>
            <w:bottom w:w="0" w:type="dxa"/>
            <w:right w:w="0" w:type="dxa"/>
          </w:tblCellMar>
          <w:tblLook w:val="05E0"/>
        </w:tblPrEx>
        <w:tc>
          <w:tcPr>
            <w:tcW w:w="2130" w:type="dxa"/>
            <w:tcBorders>
              <w:top w:val="inset" w:sz="6" w:space="0" w:color="808080"/>
              <w:bottom w:val="inset" w:sz="6" w:space="0" w:color="808080"/>
              <w:right w:val="inset" w:sz="6" w:space="0" w:color="808080"/>
            </w:tcBorders>
            <w:noWrap w:val="0"/>
            <w:tcMar>
              <w:top w:w="0" w:type="dxa"/>
              <w:left w:w="0" w:type="dxa"/>
              <w:bottom w:w="0" w:type="dxa"/>
              <w:right w:w="0" w:type="dxa"/>
            </w:tcMar>
            <w:vAlign w:val="top"/>
            <w:hideMark/>
          </w:tcPr>
          <w:p>
            <w:pPr>
              <w:rPr>
                <w:noProof/>
              </w:rPr>
            </w:pPr>
            <w:r>
              <w:rPr>
                <w:noProof/>
              </w:rPr>
              <w:t>actie</w:t>
            </w:r>
          </w:p>
        </w:tc>
        <w:tc>
          <w:tcPr>
            <w:tcW w:w="5820" w:type="dxa"/>
            <w:tcBorders>
              <w:top w:val="inset" w:sz="6" w:space="0" w:color="808080"/>
              <w:left w:val="inset" w:sz="6" w:space="0" w:color="808080"/>
              <w:bottom w:val="inset" w:sz="6" w:space="0" w:color="808080"/>
            </w:tcBorders>
            <w:noWrap w:val="0"/>
            <w:tcMar>
              <w:top w:w="0" w:type="dxa"/>
              <w:left w:w="0" w:type="dxa"/>
              <w:bottom w:w="0" w:type="dxa"/>
              <w:right w:w="0" w:type="dxa"/>
            </w:tcMar>
            <w:vAlign w:val="top"/>
            <w:hideMark/>
          </w:tcPr>
          <w:p>
            <w:pPr>
              <w:rPr>
                <w:noProof/>
              </w:rPr>
            </w:pPr>
            <w:r>
              <w:rPr>
                <w:noProof/>
              </w:rPr>
              <w:t>geen</w:t>
            </w:r>
          </w:p>
        </w:tc>
      </w:tr>
      <w:tr>
        <w:tblPrEx>
          <w:tblW w:w="7920" w:type="dxa"/>
          <w:tblCellMar>
            <w:top w:w="0" w:type="dxa"/>
            <w:left w:w="0" w:type="dxa"/>
            <w:bottom w:w="0" w:type="dxa"/>
            <w:right w:w="0" w:type="dxa"/>
          </w:tblCellMar>
          <w:tblLook w:val="05E0"/>
        </w:tblPrEx>
        <w:tc>
          <w:tcPr>
            <w:tcW w:w="2130" w:type="dxa"/>
            <w:tcBorders>
              <w:top w:val="inset" w:sz="6" w:space="0" w:color="808080"/>
              <w:right w:val="inset" w:sz="6" w:space="0" w:color="808080"/>
            </w:tcBorders>
            <w:noWrap w:val="0"/>
            <w:tcMar>
              <w:top w:w="0" w:type="dxa"/>
              <w:left w:w="0" w:type="dxa"/>
              <w:bottom w:w="0" w:type="dxa"/>
              <w:right w:w="0" w:type="dxa"/>
            </w:tcMar>
            <w:vAlign w:val="top"/>
            <w:hideMark/>
          </w:tcPr>
          <w:p>
            <w:pPr>
              <w:rPr>
                <w:noProof/>
              </w:rPr>
            </w:pPr>
            <w:r>
              <w:rPr>
                <w:noProof/>
              </w:rPr>
              <w:t>krediet</w:t>
            </w:r>
          </w:p>
        </w:tc>
        <w:tc>
          <w:tcPr>
            <w:tcW w:w="5820" w:type="dxa"/>
            <w:tcBorders>
              <w:top w:val="inset" w:sz="6" w:space="0" w:color="808080"/>
              <w:left w:val="inset" w:sz="6" w:space="0" w:color="808080"/>
            </w:tcBorders>
            <w:noWrap w:val="0"/>
            <w:tcMar>
              <w:top w:w="0" w:type="dxa"/>
              <w:left w:w="0" w:type="dxa"/>
              <w:bottom w:w="0" w:type="dxa"/>
              <w:right w:w="0" w:type="dxa"/>
            </w:tcMar>
            <w:vAlign w:val="top"/>
            <w:hideMark/>
          </w:tcPr>
          <w:p>
            <w:pPr>
              <w:rPr>
                <w:noProof/>
              </w:rPr>
            </w:pPr>
            <w:r>
              <w:rPr>
                <w:noProof/>
              </w:rPr>
              <w:t>toereikend</w:t>
            </w:r>
          </w:p>
        </w:tc>
      </w:tr>
    </w:tbl>
    <w:p w:rsidR="00CA5B79" w:rsidRPr="00016A2E" w:rsidP="00CA5B79" w14:paraId="2430E333" w14:textId="2F3038C1">
      <w:pPr>
        <w:rPr>
          <w:noProof/>
          <w:szCs w:val="20"/>
        </w:rPr>
      </w:pPr>
      <w:r>
        <w:rPr>
          <w:b/>
          <w:noProof/>
          <w:szCs w:val="20"/>
        </w:rPr>
        <w:t>S</w:t>
      </w:r>
      <w:r w:rsidRPr="00E25770">
        <w:rPr>
          <w:b/>
          <w:noProof/>
          <w:szCs w:val="20"/>
        </w:rPr>
        <w:t>temming over het agendapunt</w:t>
      </w:r>
    </w:p>
    <w:p w:rsidR="00816F3E" w:rsidP="00816F3E" w14:paraId="059FBCB0" w14:textId="2B4CF452">
      <w:r>
        <w:rPr>
          <w:noProof/>
        </w:rPr>
        <w:t>Goedgekeurd met eenparigheid van stemmen.</w:t>
      </w:r>
    </w:p>
    <w:p w:rsidR="00160002" w:rsidRPr="00FC3E79" w:rsidP="00160002" w14:paraId="5C165572" w14:textId="10091088">
      <w:pPr>
        <w:pStyle w:val="Tekstvaklabel"/>
      </w:pPr>
      <w:r>
        <w:rPr>
          <w:noProof/>
        </w:rPr>
        <w:t>Besluit</w:t>
      </w:r>
    </w:p>
    <w:p>
      <w:pPr>
        <w:rPr>
          <w:noProof/>
        </w:rPr>
      </w:pPr>
      <w:r>
        <w:rPr>
          <w:noProof/>
        </w:rPr>
        <w:t xml:space="preserve">Artikel 1 </w:t>
      </w:r>
      <w:r>
        <w:rPr>
          <w:noProof/>
        </w:rPr>
        <w:br/>
      </w:r>
      <w:r>
        <w:rPr>
          <w:noProof/>
        </w:rPr>
        <w:t>De aanpassing van het retributiereglement op de verkoop van dranken en versnaperingen wordt goedgekeurd, in het bijzonder voor de afname van de dranken zonder bediening, met ingang van 1 april 2025 en eindigend op 31 december 2025.</w:t>
      </w:r>
    </w:p>
    <w:p>
      <w:pPr>
        <w:rPr>
          <w:noProof/>
        </w:rPr>
      </w:pPr>
      <w:r>
        <w:rPr>
          <w:noProof/>
        </w:rPr>
        <w:t>Artikel 2</w:t>
      </w:r>
      <w:r>
        <w:rPr>
          <w:noProof/>
        </w:rPr>
        <w:br/>
      </w:r>
      <w:r>
        <w:rPr>
          <w:noProof/>
        </w:rPr>
        <w:t>Een kopie van dit besluit wordt aan de financieel verantwoordelijke bezorgd en aan de betrokken dienst belast met de toepassing van dit reglement.</w:t>
      </w:r>
    </w:p>
    <w:p>
      <w:pPr>
        <w:rPr>
          <w:noProof/>
        </w:rPr>
      </w:pPr>
      <w:r>
        <w:rPr>
          <w:noProof/>
        </w:rPr>
        <w:t>Artikel 3</w:t>
      </w:r>
      <w:r>
        <w:rPr>
          <w:noProof/>
        </w:rPr>
        <w:br/>
      </w:r>
      <w:r>
        <w:rPr>
          <w:noProof/>
        </w:rPr>
        <w:t>Dit besluit en de inhoud ervan wordt bekendgemaakt via de besluitenlijst van de Raad van Bestuur op de webtoepassing van de stad en gepubliceerd op de webtoepassing van de stad. De toezichthoudende overheid wordt op de hoogte gebracht van de bekendmaking (artikel 285 § 1, 2°, artikel 287 en artikel 330 van het decreet lokaal bestuur van 22 december 2017 en latere wijzigingen).</w:t>
      </w:r>
    </w:p>
    <w:p w:rsidR="000A2EF7" w:rsidRPr="00FC3E79" w:rsidP="000A2EF7" w14:paraId="199C3925" w14:textId="68D30672">
      <w:pPr>
        <w:pStyle w:val="Tekstvaklabel"/>
      </w:pPr>
      <w:r>
        <w:rPr>
          <w:noProof/>
        </w:rPr>
        <w:t>Reglementen</w:t>
      </w:r>
    </w:p>
    <w:p>
      <w:pPr>
        <w:rPr>
          <w:noProof/>
        </w:rPr>
      </w:pPr>
      <w:r>
        <w:rPr>
          <w:b/>
          <w:bCs/>
          <w:noProof/>
        </w:rPr>
        <w:t>Periode</w:t>
      </w:r>
    </w:p>
    <w:p>
      <w:pPr>
        <w:rPr>
          <w:noProof/>
        </w:rPr>
      </w:pPr>
      <w:r>
        <w:rPr>
          <w:noProof/>
        </w:rPr>
        <w:t>Artikel 1</w:t>
      </w:r>
      <w:r>
        <w:rPr>
          <w:noProof/>
        </w:rPr>
        <w:br/>
      </w:r>
      <w:r>
        <w:rPr>
          <w:noProof/>
        </w:rPr>
        <w:t>Er wordt voor een termijn aanvangend op 1 januari 2020 en eindigend op 31 december 2025 een retributie geheven op de verkoop van dranken en versnaperingen. Een aanpassing van het retributiereglement op de verkoop van dranken en versnaperingen wordt doorgevoerd:</w:t>
      </w:r>
    </w:p>
    <w:p>
      <w:pPr>
        <w:numPr>
          <w:ilvl w:val="0"/>
          <w:numId w:val="14"/>
        </w:numPr>
        <w:ind w:left="720" w:hanging="360"/>
        <w:jc w:val="left"/>
        <w:rPr>
          <w:noProof/>
        </w:rPr>
      </w:pPr>
      <w:r>
        <w:rPr>
          <w:noProof/>
        </w:rPr>
        <w:t>voor de afname van de dranken zonder bediening met ingang van 1 april 2025 en eindigend op 31 december 2025.</w:t>
      </w:r>
    </w:p>
    <w:p>
      <w:pPr>
        <w:rPr>
          <w:noProof/>
        </w:rPr>
      </w:pPr>
      <w:r>
        <w:rPr>
          <w:noProof/>
        </w:rPr>
        <w:t>Hieronder volgt het aangepaste retributiereglement.</w:t>
      </w:r>
    </w:p>
    <w:p>
      <w:pPr>
        <w:rPr>
          <w:noProof/>
        </w:rPr>
      </w:pPr>
      <w:r>
        <w:rPr>
          <w:b/>
          <w:bCs/>
          <w:noProof/>
        </w:rPr>
        <w:t>Schuldenaar</w:t>
      </w:r>
    </w:p>
    <w:p>
      <w:pPr>
        <w:rPr>
          <w:noProof/>
        </w:rPr>
      </w:pPr>
      <w:r>
        <w:rPr>
          <w:noProof/>
        </w:rPr>
        <w:t>Artikel 2</w:t>
      </w:r>
      <w:r>
        <w:rPr>
          <w:noProof/>
        </w:rPr>
        <w:br/>
      </w:r>
      <w:r>
        <w:rPr>
          <w:noProof/>
        </w:rPr>
        <w:t>De retributie is verschuldigd door de aankoper van de drank in de Brielpoort (zonder bediening), benedenzaal sportzaal Landegem (zonder bediening), Jeugdhuis Brieljant (met en zonder bediening), Palaestra (met bediening), Sint-Pieters (met bediening), DC Leiespiegel (met bediening), buurtcentrum De Rekkelinge (met en zonder bediening) en het Museum van Deinze en de Leiestreek (met bediening).</w:t>
      </w:r>
    </w:p>
    <w:p>
      <w:pPr>
        <w:rPr>
          <w:noProof/>
        </w:rPr>
      </w:pPr>
      <w:r>
        <w:rPr>
          <w:b/>
          <w:bCs/>
          <w:noProof/>
        </w:rPr>
        <w:t>Tarieven</w:t>
      </w:r>
    </w:p>
    <w:p>
      <w:pPr>
        <w:rPr>
          <w:noProof/>
        </w:rPr>
      </w:pPr>
      <w:r>
        <w:rPr>
          <w:noProof/>
        </w:rPr>
        <w:t>Artikel 3</w:t>
      </w:r>
      <w:r>
        <w:rPr>
          <w:noProof/>
        </w:rPr>
        <w:br/>
      </w:r>
      <w:r>
        <w:rPr>
          <w:noProof/>
        </w:rPr>
        <w:t>De retributie wordt als volgt vastgesteld:</w:t>
      </w:r>
    </w:p>
    <w:p>
      <w:pPr>
        <w:rPr>
          <w:noProof/>
        </w:rPr>
      </w:pPr>
      <w:r>
        <w:rPr>
          <w:noProof/>
        </w:rPr>
        <w:t>§1 prijslijst dranken die afgenomen worden wanneer de Brielpoort en aanpalende parking, de benedenzaal van de sportzaal Landegem of Jeugdhuis Brieljant wordt gehuurd.</w:t>
      </w:r>
    </w:p>
    <w:p>
      <w:pPr>
        <w:rPr>
          <w:noProof/>
        </w:rPr>
      </w:pPr>
      <w:r>
        <w:rPr>
          <w:noProof/>
        </w:rPr>
        <w:t>De huurders zijn verplicht de dranken opgenomen op deze lijst bij de vaste drankenleverancier aan te kopen. Eventueel andere gewenste dranken moeten ook verplicht bij de vaste drankenleverancier aangekocht worden, maar deze worden wel rechtstreeks aan de huurder gefactureerd.</w:t>
      </w:r>
    </w:p>
    <w:tbl>
      <w:tblPr>
        <w:tblStyle w:val="table"/>
        <w:tblW w:w="8235"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Look w:val="05E0"/>
      </w:tblPr>
      <w:tblGrid>
        <w:gridCol w:w="6908"/>
        <w:gridCol w:w="1327"/>
      </w:tblGrid>
      <w:tr>
        <w:tblPrEx>
          <w:tblW w:w="8235"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Look w:val="05E0"/>
        </w:tblPrEx>
        <w:trPr>
          <w:trHeight w:val="300"/>
        </w:trPr>
        <w:tc>
          <w:tcPr>
            <w:tcW w:w="6945" w:type="dxa"/>
            <w:tcBorders>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shd w:val="clear" w:color="auto" w:fill="FFFFFF"/>
              </w:rPr>
              <w:t>BIEREN</w:t>
            </w:r>
          </w:p>
        </w:tc>
        <w:tc>
          <w:tcPr>
            <w:tcW w:w="1335" w:type="dxa"/>
            <w:tcBorders>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AUGUSTIJN BLOND/BRUIN 24X33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€ 39,83</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AUGUSTIJN GRAND CRU 24X33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€ 47,22</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BOCKOR BLAUW 24X33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€ 24,09</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BUYSSE LUCIEN BLOND/BRUIN 24X33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€ 46,13</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CARLSBERG 24X25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€ 29,55</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CARLSBERG 0% 24X25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€ 21,80</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JUPILER BLUE 24X25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€ 14,20</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DESPERADOS 24X33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€ 53,41</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DUVEL 24X33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€ 38,41</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DUVEL TRIPEL HOP 24X33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€ 51,26</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GRIMBERGEN BLOND 24X33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€ 37,57</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HOEGAARDEN 24X25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€ 18,65</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HOEGAARDEN ROSE 24X25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€ 21,50</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KARMELIET TRIPEL 24X33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€ 36,23</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KASTEEL ROUGE 24X33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€ 40,54</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KRIEK BELLE VUE EXTRA 24X25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€ 27,59</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KRIEK BELLE VUE EXTRA VAT 20 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€ 100,30</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KRIEK MAX 24X25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€ 29,54</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KRIEK LINDEMANS 24X25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€ 29,31</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KWAREMONT BLOND 24X33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€ 37,57</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KWAREMONT BLOND VAT 20 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€ 106,17</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LA CHOUFFE 24X33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€ 40,65</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LEFFE BLOND/BRUIN 24X33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€ 29,45</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LEFFE BLOND/BRUIN 0%, 24X33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€ 23,85</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LEFORT BLOND/BRUIN 24X33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€ 44,00</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MAEGHT VAN GOTTEM 24X33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€ 44,13</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OMER 24X33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€ 42,47</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ORVAL 24X33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€ 41,87</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PALM 24X25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€ 23,82</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JUPILER 24X25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€ 14,04</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JUPILER 0,0% 24X25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€ 13,75</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JUPILER VAT 30 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€ 74,96</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JUPIER VAT 50L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€ 116,22</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POTTELOEREKE 24X33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€ 44,92</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RODENBACH 24X25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€ 25,92</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SAN MIGUEL 24X25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€ 23,68</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SINT CANARUS 24X33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€ 42,24</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VEDETT 24X33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€ 30,00</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VEDETT IPA 24X33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€ 34,52</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WESTMALLE DOUBLE 24X33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€ 33,21</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WESTMALLE TRIPLE 24X33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€ 41,67</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shd w:val="clear" w:color="auto" w:fill="FFFFFF"/>
              </w:rPr>
              <w:t>FRISDRANKEN</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COCA-COLA 24X20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€ 15,73</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COCA-COLA 6X1 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€ 14,63</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COCA-COLA LIGHT 24X20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€ 15,73</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COCA-COLA LIGHT 6X1 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€ 14,63</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COCA-COLA ZERO 24X20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€ 15,73</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COCA-COLA ZERO 6X1 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€ 14,63</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ROMAN COLA VAT 30 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€ 40,87</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RITCHIE COLA / COLA ZERO 24X27,5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€ 35,97</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FANTA ORANGE 24X20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€ 15,73</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FANTA ORANGE 6X1 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€ 14,01</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FANTA LEMON 24X20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€ 15,73</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FANTA ZERO ORANGE/LEMON PET 6X1,5 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€ 19,36</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LIMONADE ORANGE GINSTBERG SLANK 12X1 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€ 12,48</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FEVER TREE TONIC/MEDITERR 24X20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€ 35,71</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FINLEY POMPELMOES/CITROEN/... 24X20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€ 18,21</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FUZE TEA PEACH/MANGO/LEMON/... 24X20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€ 15,53</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GINI 24X20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€ 23,68</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ICE TEA 24X25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€ 17,65</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ICE TEA 6X1 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€ 13,80</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ICE TEA GREEN 24X25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€ 18,52</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ICE TEA ZERO 24X25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€ 17,65</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OASIS ORANGE/TROPICAL PET 24X25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€ 36,84</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RED BULL BLIK 24X25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€ 37,20</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RITCHIE ORANGE/POMPELMOES/CITROEN/... 24X27,5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€ 35,05</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SCHWEPPES AGRUM 24X25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€ 23,79</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SCHWEPPES TONIC 24X25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€ 23,79</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SPRITE 24X20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€ 15,73</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TONISSTEINER ORANGE/CITROEN 20X25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€ 16,36</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TONISTEINER AGRUM/PINK/VRUCHTENKORF/NARANJA 20X25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€ 21,28</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shd w:val="clear" w:color="auto" w:fill="FFFFFF"/>
              </w:rPr>
              <w:t>FRUITSAPPEN</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VARESA FRUITSAP (pulpvrij)  6X1 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€ 10,99</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LOOZA DIVERSE SMAKEN 24X20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€ 17,54</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JUSTO FRUITSAP SINAAS FAIRTRADE 6X1 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€ 14,19</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JUSTO FRUITSAP DIV SMAKEN FAIRTRADE 24X20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€ 13,28</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shd w:val="clear" w:color="auto" w:fill="FFFFFF"/>
              </w:rPr>
              <w:t>WATERS</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STRAAL SPUITWATER 12X1 L </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€ 4,93</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STRAAL SPUITWATER 6X1L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€ 3,58</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STRAAL SPUITWATER 24X20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€ 5,77</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STRAAL PLAT WATER 12X1 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€ 4,93</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STRAAL PLAT WATER 6X1 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€ 3,58</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STRAAL PLAT WATER 24X20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€ 5,77</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SPA BRUIS/REINE 28X25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€ 10,34</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shd w:val="clear" w:color="auto" w:fill="FFFFFF"/>
              </w:rPr>
              <w:t>APERITIEVEN, EA</w:t>
            </w:r>
            <w:r>
              <w:rPr>
                <w:noProof/>
                <w:shd w:val="clear" w:color="auto" w:fill="FFFFFF"/>
              </w:rPr>
              <w:t xml:space="preserve"> </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BOMBAY GIN 40%, 1 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€ 40,84</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CASSIS LEJAY-LAGOUTE 16%, 1 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€ 21,25</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COINTREAU 1 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€ 42,70</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ERISTOF VODKA 37,5%, 1 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€ 31,85</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ERISTOF VODKA RED 20%, 1 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€ 25,57</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FILLIERS ADVOKAAT 14%, 70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€ 17,15</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FILLIERS APPEL 20%, 70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€ 18,14</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FILLIERS BESSEN 20%, 70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€ 18,14</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FILLIERS CHOCOLADE 17%, 70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€ 18,78</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FILLIERS CITROEN 20%,  70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€ 18,14</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FILLIERS CUBERDON 17%, 70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€ 18,14</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FILLIERS DRY GIN '28' 46%, 50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€ 32,52</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FILLIERS GRAANJENEVER 30%, 1 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€ 23,33</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FILLIERS KOFFIE 17% , 70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€ 17,28</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FILLIERS PASSIE 20%, 70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€ 18,38</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FILLIERS VANILLE 20%, 70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€ 18,24</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FLUGEL 10%, 40x20 ML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€ 41,27</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MARTINI BELLINI 75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€ 12,98</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PISANG AMBON 20%, 1 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€ 24,01</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POMPIERKE EXOTIQ 15%, 1 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€ 11,45</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PORTO OLD ROOD/WIT 19%, 75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€ 11,22</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SOMERSBY APPEL 24X33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€ 52,77</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STRONGBOW GOLD APPEL/ RED BERRY 24X33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€ 48,57</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TANNEKE GIN 40%, 50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€ 78,40</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QUINT SANGRIA ROOD 75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€ 12,41</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shd w:val="clear" w:color="auto" w:fill="FFFFFF"/>
              </w:rPr>
              <w:t>CAVA, WIJNEN EA ....</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CAVA BRUT GM 6X75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€ 49,50</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CHAMPAGNE BRUT BARON DE VILLEBOERG 6X75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€ 157,99</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SCHUIMWIJN DRY SEC HERITAGE BARON LOUIS 6X75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€ 30,98</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OXFAM FAIRTRADE RODE WIJN PINOTAGE 6X75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€ 66,15</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OXFAM FAIRTRADE RODE WIJN CABERNET SAUVIGNON 6X75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€ 46,55</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OXFAM FAIRTRADE ROSE WIJN PINOTAGE 6X75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€ 46,55</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OXFAM FAIRTRADE ROSE WIJN GRENANCHE 6X75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€ 46,55</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OXFAM FAIRTRADE WITTE WIJN CHENIN BLANC 6X75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€ 46,55</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OXFAM FAIRTRADE WITTE WIJN CHARDONNAY 6X75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€ 63,70</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RODE WIJN TERRE AUSINE MERLOT 6X75 CL </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€ 38,41</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RODE WIJN VINTENSE MERLOT 0%, 6X75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€ 52,22</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RODE WIJN TERRE AUSINE PINOT NOIR 6X75 CL </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€ 49,00</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ROSE WIJN TERRE AUSINE GRENACHE 6X75 CL </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€ 38,41</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ROSE WIJN TERRE AUSINE MERLOT 6X75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€ 38,41</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ROSE WIJN VINTENSE MERLOT 0%, 6X75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€ 52,22</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WITTE WIJN TERRE AUSINE CHARDONNAY 6X75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€ 38,41</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WITTE WIJN VINTENSE CHARDONNAY 0%, 6X75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€ 52,22</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WITTE WIJN TERRE AUSINE SAUVIGNON BLANC 6X75 CL</w:t>
            </w:r>
          </w:p>
        </w:tc>
        <w:tc>
          <w:tcPr>
            <w:tcW w:w="133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€ 38,41</w:t>
            </w:r>
          </w:p>
        </w:tc>
      </w:tr>
      <w:tr>
        <w:tblPrEx>
          <w:tblW w:w="8235" w:type="dxa"/>
          <w:tblCellMar>
            <w:top w:w="0" w:type="dxa"/>
            <w:left w:w="0" w:type="dxa"/>
            <w:bottom w:w="0" w:type="dxa"/>
            <w:right w:w="0" w:type="dxa"/>
          </w:tblCellMar>
          <w:tblLook w:val="05E0"/>
        </w:tblPrEx>
        <w:trPr>
          <w:trHeight w:val="300"/>
        </w:trPr>
        <w:tc>
          <w:tcPr>
            <w:tcW w:w="6945" w:type="dxa"/>
            <w:tcBorders>
              <w:top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GLUHWEIN GLOCKEN 8,5%, 1 L</w:t>
            </w:r>
          </w:p>
        </w:tc>
        <w:tc>
          <w:tcPr>
            <w:tcW w:w="1335" w:type="dxa"/>
            <w:tcBorders>
              <w:top w:val="inset" w:sz="6" w:space="0" w:color="808080"/>
              <w:left w:val="inset" w:sz="6" w:space="0" w:color="808080"/>
            </w:tcBorders>
            <w:noWrap w:val="0"/>
            <w:tcMar>
              <w:top w:w="0" w:type="dxa"/>
              <w:left w:w="0" w:type="dxa"/>
              <w:bottom w:w="0" w:type="dxa"/>
              <w:right w:w="0" w:type="dxa"/>
            </w:tcMar>
            <w:vAlign w:val="center"/>
            <w:hideMark/>
          </w:tcPr>
          <w:p>
            <w:pPr>
              <w:jc w:val="right"/>
              <w:rPr>
                <w:noProof/>
              </w:rPr>
            </w:pPr>
            <w:r>
              <w:rPr>
                <w:noProof/>
              </w:rPr>
              <w:t>€ 4,24</w:t>
            </w:r>
          </w:p>
        </w:tc>
      </w:tr>
    </w:tbl>
    <w:p>
      <w:pPr>
        <w:rPr>
          <w:noProof/>
        </w:rPr>
      </w:pPr>
      <w:r>
        <w:rPr>
          <w:noProof/>
        </w:rPr>
        <w:t>De prijs van het leeggoed wordt enkel aangerekend aan de huurder als niet alle leeggoed wordt teruggegeven.</w:t>
      </w:r>
    </w:p>
    <w:p>
      <w:pPr>
        <w:rPr>
          <w:noProof/>
        </w:rPr>
      </w:pPr>
      <w:r>
        <w:rPr>
          <w:noProof/>
        </w:rPr>
        <w:t>§2 prijslijst dranken en versnaperingen met bediening in het sportcomplex Palaestra en sporthal Sint-Pieters</w:t>
      </w:r>
    </w:p>
    <w:tbl>
      <w:tblPr>
        <w:tblStyle w:val="table"/>
        <w:tblW w:w="8175"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Look w:val="05E0"/>
      </w:tblPr>
      <w:tblGrid>
        <w:gridCol w:w="6936"/>
        <w:gridCol w:w="1239"/>
      </w:tblGrid>
      <w:tr>
        <w:tblPrEx>
          <w:tblW w:w="8175"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Look w:val="05E0"/>
        </w:tblPrEx>
        <w:trPr>
          <w:trHeight w:val="300"/>
        </w:trPr>
        <w:tc>
          <w:tcPr>
            <w:tcW w:w="6975" w:type="dxa"/>
            <w:tcBorders>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BIEREN</w:t>
            </w:r>
          </w:p>
        </w:tc>
        <w:tc>
          <w:tcPr>
            <w:tcW w:w="1245" w:type="dxa"/>
            <w:tcBorders>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BUYSSE LUCIEN BLOND/BRUIN</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CARLSBERG</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CARLSBERG 0%</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DUVEL</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GRIMBERGEN BLOND</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GRIMBERGEN DUBBEL</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HOEGAARDEN</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KRIEK PREMIUM ST LOUIS</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LEFFE BLOND/BRUIN</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LEFFE BLOND/BRUIN 0%</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MAEGHT VAN GOTTEM</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OMER</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ORVAL</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PALM</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JUPILER 0,0%</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JUPILER VAN HET VAT</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POTTELOEREKE</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RODENBACH </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SINT CANARUS</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VEDETT</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WESTMALLE DOUBLE</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WESTMALLE TRIPLE </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€ 4,00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FRISDRANKEN</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AQUARIUS or/le/gr/rp PET 50 CL</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€ 2,60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COCA-COLA</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COCA-COLA LIGHT</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COCA-COLA ZERO </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FANTA ORANGE</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FANTA LEMON</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FEVER TREE TONIC/MEDITERR </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GINI</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ICE TEA </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OASIS ORANGE/TROPICAL PET 25 CL</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SCHWEPPES AGRUM </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SCHWEPPES TONIC</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SCHWEPPES PINK</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SPRITE</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FRUITSAPPEN</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LOOZA DIVERSE SMAKEN</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WATERS</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STRAAL SPUITWATER FLES </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€ 5,00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STRAAL PLAT WATER 1 FLES</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€ 5,00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SPA BRUIS/REINE</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APERITIEVEN, EA </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DRY SHERRY OSBORNE 15%</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FILLIERS APPEL 20%</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FILLIERS BESSEN 20%</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FILLIERS CITROEN 20%</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FILLIERS KOFFIE 17% </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MARTINI ROOD/WIT 15%</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€ 4,00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PORTO OLD ROOD/WIT 19%</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CAVA, WIJNEN EA ....</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CAVA 20 CL FLES</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€ 6,00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CAVA 75 CL FLES</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CAVA GLAS</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€ 4,00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RODE WIJN</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€ 4,00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RODE WIJN FLES</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ROSE WIJN</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€ 4,00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ROSE WIJN FLES</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WITTE WIJN</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€ 4,00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WITTE WIJN FLES</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KOFFIE EN THEE</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CAMILLE</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CAPPUCCINO</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DECA</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EARL GREY</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GREEN TEA / CITRUS</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KOFFIE  </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LINDE</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PEPPERMINT</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ROZEBOTTEL</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YELLOW</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SNACKS</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ASPERGES CRUNCHY</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CECEMEL FLESJES PET 30 CL</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CHAMPIGNONS CRUNCHY</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CORNET AARDBEI</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CORNET NOTEN</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COTE D'OR MELKCHOCOLADE</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CROCKY PAPRIKA KLEIN</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€ 1,60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CROCKY PICKLES KLEIN</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€ 1,60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CROCKY ZOUT KLEIN</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€ 1,60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CROCQUE MET BRIE EN NOTEN</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175" w:type="dxa"/>
          <w:tblCellMar>
            <w:top w:w="0" w:type="dxa"/>
            <w:left w:w="0" w:type="dxa"/>
            <w:bottom w:w="0" w:type="dxa"/>
            <w:right w:w="0" w:type="dxa"/>
          </w:tblCellMar>
          <w:tblLook w:val="05E0"/>
        </w:tblPrEx>
        <w:trPr>
          <w:trHeight w:val="315"/>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CROCQUE MET PESTO/ZONGEDROOGDE TOMATEN</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CROCQUE MONSIEUR</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ERWTEN MET HAM CLASSIC</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FRISTI PET 30 CL</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GROENTEN SUPREME</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HOTCECEMEL</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HOT-DOG BROODJES EN WORSTJES</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LAYS PEPER EN ZOUT KLEIN</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€ 1,60</w:t>
            </w:r>
          </w:p>
        </w:tc>
      </w:tr>
      <w:tr>
        <w:tblPrEx>
          <w:tblW w:w="8175" w:type="dxa"/>
          <w:tblCellMar>
            <w:top w:w="0" w:type="dxa"/>
            <w:left w:w="0" w:type="dxa"/>
            <w:bottom w:w="0" w:type="dxa"/>
            <w:right w:w="0" w:type="dxa"/>
          </w:tblCellMar>
          <w:tblLook w:val="05E0"/>
        </w:tblPrEx>
        <w:trPr>
          <w:trHeight w:val="345"/>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PANNENKOEK MET SUIKER + KOFFIE OF FRISDRANK</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€ 5,00</w:t>
            </w:r>
          </w:p>
        </w:tc>
      </w:tr>
      <w:tr>
        <w:tblPrEx>
          <w:tblW w:w="8175" w:type="dxa"/>
          <w:tblCellMar>
            <w:top w:w="0" w:type="dxa"/>
            <w:left w:w="0" w:type="dxa"/>
            <w:bottom w:w="0" w:type="dxa"/>
            <w:right w:w="0" w:type="dxa"/>
          </w:tblCellMar>
          <w:tblLook w:val="05E0"/>
        </w:tblPrEx>
        <w:trPr>
          <w:trHeight w:val="33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PANNENKOEK MET SUIKER + ROOMIJS EN KOFFIE</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€ 5,50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BORDJE KAAS EN SALAMI</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€ 4,00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KINDERIJSJE</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COUPE DAME-BLANCHE</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€ 4,50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ADVOCAATJE</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€ 4,00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ONTBIJTZWEMMEN</w:t>
            </w:r>
          </w:p>
        </w:tc>
        <w:tc>
          <w:tcPr>
            <w:tcW w:w="124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€ 7,00</w:t>
            </w:r>
          </w:p>
        </w:tc>
      </w:tr>
      <w:tr>
        <w:tblPrEx>
          <w:tblW w:w="8175" w:type="dxa"/>
          <w:tblCellMar>
            <w:top w:w="0" w:type="dxa"/>
            <w:left w:w="0" w:type="dxa"/>
            <w:bottom w:w="0" w:type="dxa"/>
            <w:right w:w="0" w:type="dxa"/>
          </w:tblCellMar>
          <w:tblLook w:val="05E0"/>
        </w:tblPrEx>
        <w:trPr>
          <w:trHeight w:val="300"/>
        </w:trPr>
        <w:tc>
          <w:tcPr>
            <w:tcW w:w="6975" w:type="dxa"/>
            <w:tcBorders>
              <w:top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VERJAARDAGSFEESTJE</w:t>
            </w:r>
          </w:p>
        </w:tc>
        <w:tc>
          <w:tcPr>
            <w:tcW w:w="1245" w:type="dxa"/>
            <w:tcBorders>
              <w:top w:val="inset" w:sz="6" w:space="0" w:color="808080"/>
              <w:left w:val="inset" w:sz="6" w:space="0" w:color="808080"/>
            </w:tcBorders>
            <w:noWrap w:val="0"/>
            <w:tcMar>
              <w:top w:w="0" w:type="dxa"/>
              <w:left w:w="0" w:type="dxa"/>
              <w:bottom w:w="0" w:type="dxa"/>
              <w:right w:w="0" w:type="dxa"/>
            </w:tcMar>
            <w:vAlign w:val="center"/>
            <w:hideMark/>
          </w:tcPr>
          <w:p>
            <w:pPr>
              <w:jc w:val="right"/>
              <w:rPr>
                <w:noProof/>
              </w:rPr>
            </w:pPr>
            <w:r>
              <w:rPr>
                <w:noProof/>
              </w:rPr>
              <w:t>€ 7,00</w:t>
            </w:r>
          </w:p>
        </w:tc>
      </w:tr>
    </w:tbl>
    <w:p>
      <w:pPr>
        <w:rPr>
          <w:noProof/>
        </w:rPr>
      </w:pPr>
      <w:r>
        <w:rPr>
          <w:noProof/>
        </w:rPr>
        <w:t>§3 prijslijst dranken en versnaperingen met bediening in Jeugdhuis Brieljant </w:t>
      </w:r>
    </w:p>
    <w:tbl>
      <w:tblPr>
        <w:tblStyle w:val="table"/>
        <w:tblW w:w="8205"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Look w:val="05E0"/>
      </w:tblPr>
      <w:tblGrid>
        <w:gridCol w:w="5446"/>
        <w:gridCol w:w="1354"/>
        <w:gridCol w:w="1405"/>
      </w:tblGrid>
      <w:tr>
        <w:tblPrEx>
          <w:tblW w:w="8205"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Look w:val="05E0"/>
        </w:tblPrEx>
        <w:trPr>
          <w:trHeight w:val="900"/>
        </w:trPr>
        <w:tc>
          <w:tcPr>
            <w:tcW w:w="5490" w:type="dxa"/>
            <w:tcBorders>
              <w:bottom w:val="inset" w:sz="6" w:space="0" w:color="808080"/>
              <w:right w:val="inset" w:sz="6" w:space="0" w:color="808080"/>
            </w:tcBorders>
            <w:noWrap w:val="0"/>
            <w:tcMar>
              <w:top w:w="0" w:type="dxa"/>
              <w:left w:w="0" w:type="dxa"/>
              <w:bottom w:w="0" w:type="dxa"/>
              <w:right w:w="0" w:type="dxa"/>
            </w:tcMar>
            <w:vAlign w:val="center"/>
            <w:hideMark/>
          </w:tcPr>
          <w:p>
            <w:pPr>
              <w:jc w:val="left"/>
              <w:rPr>
                <w:noProof/>
              </w:rPr>
            </w:pPr>
            <w:r>
              <w:rPr>
                <w:b/>
                <w:bCs/>
                <w:noProof/>
              </w:rPr>
              <w:t>BIEREN</w:t>
            </w:r>
          </w:p>
        </w:tc>
        <w:tc>
          <w:tcPr>
            <w:tcW w:w="1365" w:type="dxa"/>
            <w:tcBorders>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center"/>
              <w:rPr>
                <w:noProof/>
              </w:rPr>
            </w:pPr>
            <w:r>
              <w:rPr>
                <w:b/>
                <w:bCs/>
                <w:noProof/>
              </w:rPr>
              <w:t>Café jeugdhuis</w:t>
            </w:r>
          </w:p>
        </w:tc>
        <w:tc>
          <w:tcPr>
            <w:tcW w:w="1410" w:type="dxa"/>
            <w:tcBorders>
              <w:left w:val="inset" w:sz="6" w:space="0" w:color="808080"/>
              <w:bottom w:val="inset" w:sz="6" w:space="0" w:color="808080"/>
            </w:tcBorders>
            <w:noWrap w:val="0"/>
            <w:tcMar>
              <w:top w:w="0" w:type="dxa"/>
              <w:left w:w="0" w:type="dxa"/>
              <w:bottom w:w="0" w:type="dxa"/>
              <w:right w:w="0" w:type="dxa"/>
            </w:tcMar>
            <w:vAlign w:val="center"/>
            <w:hideMark/>
          </w:tcPr>
          <w:p>
            <w:pPr>
              <w:jc w:val="center"/>
              <w:rPr>
                <w:noProof/>
              </w:rPr>
            </w:pPr>
            <w:r>
              <w:rPr>
                <w:b/>
                <w:bCs/>
                <w:noProof/>
              </w:rPr>
              <w:t>Evenementen met drankkaart</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BOCKOR BLAUW</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€ 2,00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BUYSSE LUCIEN BLOND/BRUIN</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€ 3,00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CARLSBERG</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€ 2,00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CARLSBERG 0%</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€ 2,00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DUVEL</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€ 3,00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DUVEL TRIPEL HOP</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€ 3,00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HOEGAARDEN ROSE</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€ 2,00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KARMELIET TRIPEL</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€ 3,00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KASTEEL ROUGE</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€ 3,00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KRIEK BELLE VUE EXTRA VAN HET VAT</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KRIEK LINDEMANS</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KWAREMONT BLOND</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€ 3,00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LA CHOUFFE</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€ 3,00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LEFORT BLOND/BRUIN</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€ 3,00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MAEGHT VAN GOTTEM</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€ 3,00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OMER</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€ 3,00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ORVAL</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€ 3,00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JUPILER</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JUPILER 0,0%</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JUPILER VAN HET VAT 50 L</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POTTELOEREKE</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€ 3,00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SINT CANARUS</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€ 3,00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VEDETT</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€ 2,00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VEDETT IPA</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€ 2,00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WESTMALLE TRIPLE </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€ 3,50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FRISDRANKEN</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 </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COCA-COLA</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COCA-COLA LIGHT</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COCA-COLA ZERO </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RITCHIE COLA / COLA ZERO</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FANTA ORANGE</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FANTA LEMON</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FANTA ZERO ORANGE/LEMON</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FINLEY POMPELMOES/CITROEN/... </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FUZE TEA PEACH/MANGO/LEMON/... </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GINI</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ICE TEA </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ICE TEA GREEN</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ICE TEA ZERO </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OASIS ORANGE/TROPICAL PET 25 CL</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RITCHIE ORANGE/POMPELM./CITROEN</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SCHWEPPES AGRUM </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SCHWEPPES AGRUM ZERO </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SPRITE</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TONISSTEINER ORANGE/CITROEN</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TONISTEINER AGRUM/PINK/VRUCHTENKORF/NARANJA</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FRUITSAPPEN</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 </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JUSTO FRUITSAP SINAAS FAIRTRADE</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JUSTO FRUITSAP DIV SMAKEN FAIRTR.</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WATERS</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 </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STRAAL SPUITWATER</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STRAAL PLAT WATER</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APERITIEVEN, EA </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 </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MARTINI BELLINI </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€ 3,00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MARTINI BELLINI FLES</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SOMERSBY APPEL</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€ 2,00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STRONGBOW GOLD APPEL/ RED BERRY</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€ 2,00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QUINT SANGRIA ROOD</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€ 5,00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€ 5,00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CAVA, WIJNEN EA ....</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 </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CAVA 75 CL FLES</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CAVA GLAS</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€ 3,00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RODE WIJN</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€ 3,00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ROSE WIJN</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€ 3,00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WITTE WIJN</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€ 3,00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RODE WIJN FLES</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ROSE WIJN FLES</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WITTE WIJN FLES</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GLUHWEIN GLOCKEN 8,5%</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€ 3,00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SNACKS</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 </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SOEP</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€ 1,50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center"/>
              <w:rPr>
                <w:noProof/>
              </w:rPr>
            </w:pPr>
            <w:r>
              <w:rPr>
                <w:noProof/>
              </w:rPr>
              <w:t>-</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CROCKY PAPRIKA KLEIN</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CROCKY ZOUT KLEIN</w:t>
            </w:r>
          </w:p>
        </w:tc>
        <w:tc>
          <w:tcPr>
            <w:tcW w:w="1365" w:type="dxa"/>
            <w:tcBorders>
              <w:top w:val="inset" w:sz="6" w:space="0" w:color="808080"/>
              <w:left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€ 1,00</w:t>
            </w:r>
          </w:p>
        </w:tc>
        <w:tc>
          <w:tcPr>
            <w:tcW w:w="141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€ 1,00</w:t>
            </w:r>
          </w:p>
        </w:tc>
      </w:tr>
      <w:tr>
        <w:tblPrEx>
          <w:tblW w:w="8205" w:type="dxa"/>
          <w:tblCellMar>
            <w:top w:w="0" w:type="dxa"/>
            <w:left w:w="0" w:type="dxa"/>
            <w:bottom w:w="0" w:type="dxa"/>
            <w:right w:w="0" w:type="dxa"/>
          </w:tblCellMar>
          <w:tblLook w:val="05E0"/>
        </w:tblPrEx>
        <w:trPr>
          <w:trHeight w:val="300"/>
        </w:trPr>
        <w:tc>
          <w:tcPr>
            <w:tcW w:w="5490" w:type="dxa"/>
            <w:tcBorders>
              <w:top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CROCKY ANDERE KLEIN</w:t>
            </w:r>
          </w:p>
        </w:tc>
        <w:tc>
          <w:tcPr>
            <w:tcW w:w="1365" w:type="dxa"/>
            <w:tcBorders>
              <w:top w:val="inset" w:sz="6" w:space="0" w:color="808080"/>
              <w:left w:val="inset" w:sz="6" w:space="0" w:color="808080"/>
              <w:right w:val="inset" w:sz="6" w:space="0" w:color="808080"/>
            </w:tcBorders>
            <w:noWrap w:val="0"/>
            <w:tcMar>
              <w:top w:w="0" w:type="dxa"/>
              <w:left w:w="0" w:type="dxa"/>
              <w:bottom w:w="0" w:type="dxa"/>
              <w:right w:w="0" w:type="dxa"/>
            </w:tcMar>
            <w:vAlign w:val="center"/>
            <w:hideMark/>
          </w:tcPr>
          <w:p>
            <w:pPr>
              <w:jc w:val="right"/>
              <w:rPr>
                <w:noProof/>
              </w:rPr>
            </w:pPr>
            <w:r>
              <w:rPr>
                <w:noProof/>
              </w:rPr>
              <w:t>€ 1,00</w:t>
            </w:r>
          </w:p>
        </w:tc>
        <w:tc>
          <w:tcPr>
            <w:tcW w:w="1410" w:type="dxa"/>
            <w:tcBorders>
              <w:top w:val="inset" w:sz="6" w:space="0" w:color="808080"/>
              <w:left w:val="inset" w:sz="6" w:space="0" w:color="808080"/>
            </w:tcBorders>
            <w:noWrap w:val="0"/>
            <w:tcMar>
              <w:top w:w="0" w:type="dxa"/>
              <w:left w:w="0" w:type="dxa"/>
              <w:bottom w:w="0" w:type="dxa"/>
              <w:right w:w="0" w:type="dxa"/>
            </w:tcMar>
            <w:vAlign w:val="center"/>
            <w:hideMark/>
          </w:tcPr>
          <w:p>
            <w:pPr>
              <w:jc w:val="right"/>
              <w:rPr>
                <w:noProof/>
              </w:rPr>
            </w:pPr>
            <w:r>
              <w:rPr>
                <w:noProof/>
              </w:rPr>
              <w:t>€ 1,00</w:t>
            </w:r>
          </w:p>
        </w:tc>
      </w:tr>
    </w:tbl>
    <w:p>
      <w:pPr>
        <w:rPr>
          <w:noProof/>
        </w:rPr>
      </w:pPr>
      <w:r>
        <w:rPr>
          <w:noProof/>
        </w:rPr>
        <w:t> §4 prijslijst dranken en versnaperingen met bediening in Dienstencentrum Leiespiegel</w:t>
      </w:r>
    </w:p>
    <w:tbl>
      <w:tblPr>
        <w:tblStyle w:val="table"/>
        <w:tblW w:w="8265"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Look w:val="05E0"/>
      </w:tblPr>
      <w:tblGrid>
        <w:gridCol w:w="6802"/>
        <w:gridCol w:w="1463"/>
      </w:tblGrid>
      <w:tr>
        <w:tblPrEx>
          <w:tblW w:w="8265"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Look w:val="05E0"/>
        </w:tblPrEx>
        <w:trPr>
          <w:trHeight w:val="300"/>
        </w:trPr>
        <w:tc>
          <w:tcPr>
            <w:tcW w:w="6840" w:type="dxa"/>
            <w:tcBorders>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BIEREN</w:t>
            </w:r>
          </w:p>
        </w:tc>
        <w:tc>
          <w:tcPr>
            <w:tcW w:w="1470" w:type="dxa"/>
            <w:tcBorders>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BUYSSE LUCIEN BLOND/BRUIN</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DUVEL</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MAEGHT VAN GOTTEM</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JUPILER</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JUPILER 0,0%</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POTTELOEREKE</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SINT CANARUS</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FRISDRANKEN</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COCA-COLA</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COCA-COLA LIGHT</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COCA-COLA ZERO </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FANTA ORANGE</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FANTA LEMON</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LIMONADE ORANGE GINSTBERG SLANK</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GINI</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ICE TEA </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SCHWEPPES TONIC</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SPRITE</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FRUITSAPPEN</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LOOZA DIVERSE SMAKEN</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JUSTO FRUITSAP SINAAS FAIRTRADE 1L</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€ 6,00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JUSTO FRUITSAP DIV SMAKEN FAIRTRADE</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WATERS</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STRAAL SPUITWATER FLES </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€ 6,00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STRAAL SPUITWATER</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STRAAL PLAT WATER 1 FLES</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€ 6,00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STRAAL PLAT WATER</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APERITIEVEN, EA </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FRUITJENEVER FILLIERS DIV.SMAKEN</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FILLIERS GRAANJENEVER 30%</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FILLIERS GIN &amp; TONIC</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€ 10,00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CAVA, WIJNEN EA ....</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CAVA 20 CL FLES</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€ 6,00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CAVA 75 CL FLES</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CAVA GLAS</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€ 4,00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OXFAM RODE WIJN GLAS</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€ 4,00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OXFAM WITTE WIJN GLAS</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€ 4,00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OXFAM ROSE WIJN GLAS</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€ 4,00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OXFAM RODE WIJN FLES</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OXFAM WITTE WIJN FLES</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OXFAM ROSE WIJN FLES</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RODE WIJN GLAS</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€ 4,00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WITTE WIJN GLAS</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€ 4,00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ROSE WIJN GLAS</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€ 4,00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RODE WIJN FLES</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WITTE WIJN FLES</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ROSE WIJN FLES</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KOFFIE-THEE</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THEE DIVERSE SMAKEN</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€ 2,30</w:t>
            </w:r>
          </w:p>
        </w:tc>
      </w:tr>
      <w:tr>
        <w:tblPrEx>
          <w:tblW w:w="8265" w:type="dxa"/>
          <w:tblCellMar>
            <w:top w:w="0" w:type="dxa"/>
            <w:left w:w="0" w:type="dxa"/>
            <w:bottom w:w="0" w:type="dxa"/>
            <w:right w:w="0" w:type="dxa"/>
          </w:tblCellMar>
          <w:tblLook w:val="05E0"/>
        </w:tblPrEx>
        <w:trPr>
          <w:trHeight w:val="300"/>
        </w:trPr>
        <w:tc>
          <w:tcPr>
            <w:tcW w:w="6840" w:type="dxa"/>
            <w:tcBorders>
              <w:top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KOFFIE</w:t>
            </w:r>
          </w:p>
        </w:tc>
        <w:tc>
          <w:tcPr>
            <w:tcW w:w="1470" w:type="dxa"/>
            <w:tcBorders>
              <w:top w:val="inset" w:sz="6" w:space="0" w:color="808080"/>
              <w:left w:val="inset" w:sz="6" w:space="0" w:color="808080"/>
            </w:tcBorders>
            <w:noWrap w:val="0"/>
            <w:tcMar>
              <w:top w:w="0" w:type="dxa"/>
              <w:left w:w="0" w:type="dxa"/>
              <w:bottom w:w="0" w:type="dxa"/>
              <w:right w:w="0" w:type="dxa"/>
            </w:tcMar>
            <w:vAlign w:val="center"/>
            <w:hideMark/>
          </w:tcPr>
          <w:p>
            <w:pPr>
              <w:jc w:val="right"/>
              <w:rPr>
                <w:noProof/>
              </w:rPr>
            </w:pPr>
            <w:r>
              <w:rPr>
                <w:noProof/>
              </w:rPr>
              <w:t>€ 2,40</w:t>
            </w:r>
          </w:p>
        </w:tc>
      </w:tr>
    </w:tbl>
    <w:p>
      <w:pPr>
        <w:rPr>
          <w:noProof/>
        </w:rPr>
      </w:pPr>
      <w:r>
        <w:rPr>
          <w:noProof/>
        </w:rPr>
        <w:t>§5 prijslijst dranken en versnaperingen die afgenomen worden wanneer Buurtcentrum Rekkelinge wordt gehuurd. De tarieven gelden ook bij bediening.</w:t>
      </w:r>
    </w:p>
    <w:p>
      <w:pPr>
        <w:rPr>
          <w:noProof/>
        </w:rPr>
      </w:pPr>
      <w:r>
        <w:rPr>
          <w:noProof/>
        </w:rPr>
        <w:t>De huurders zijn verplicht de dranken opgenomen op deze lijst bij de vaste drankenleverancier aan te kopen. Eventueel andere gewenste dranken moeten ook verplicht bij de vaste drankenleverancier aangekocht worden, maar deze worden wel rechtstreeks aan de huurder gefactureerd.</w:t>
      </w:r>
    </w:p>
    <w:tbl>
      <w:tblPr>
        <w:tblStyle w:val="table"/>
        <w:tblW w:w="8265"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Look w:val="05E0"/>
      </w:tblPr>
      <w:tblGrid>
        <w:gridCol w:w="6816"/>
        <w:gridCol w:w="1449"/>
      </w:tblGrid>
      <w:tr>
        <w:tblPrEx>
          <w:tblW w:w="8265"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Look w:val="05E0"/>
        </w:tblPrEx>
        <w:trPr>
          <w:trHeight w:val="300"/>
        </w:trPr>
        <w:tc>
          <w:tcPr>
            <w:tcW w:w="6855" w:type="dxa"/>
            <w:tcBorders>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BIEREN</w:t>
            </w:r>
          </w:p>
        </w:tc>
        <w:tc>
          <w:tcPr>
            <w:tcW w:w="1455" w:type="dxa"/>
            <w:tcBorders>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BUYSSE LUCIEN BLOND/BRUIN</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CARLSBERG</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DUVEL</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HOEGAARDEN</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KRIEK PREMIUM ST LOUIS</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MAEGHT VAN GOTTEM</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PALM</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€ 1,50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JUPILER FLESJE</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JUPILER VAT 30L</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€ 100,00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JUPIER VAT 50L</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€ 165,00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POTTELOEREKE</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SINT CANARUS</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WESTMALLE DOUBLE</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WESTMALLE TRIPLE </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FRISDRANKEN</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COCA-COLA</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COCA-COLA LIGHT</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FANTA ORANGE</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ICE TEA </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SCHWEPPES TONIC</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FRUITSAPPEN</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LOOZA DIVERSE SMAKEN</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JUSTO FRUITSAP SINAAS FAIRTRADE 1L</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WATERS</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STRAAL SPUITWATER FLES </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STRAAL PLAT WATER 1 FLES</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SPA BRUIS/REINE</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APERITIEVEN, EA </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FILLIERS GRAANJENEVER 30%</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FILLIERS GRAANJENEVER 30% FLES</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€ 19,00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MARTINI ROOD/WIT 15%</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MARTINI ROOD/WIT 15% FLES</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€ 16,00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PORTO OLD ROOD 19%</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PORTO OLD ROOD 19% FLES</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€ 9,00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CAVA, WIJNEN EA ....</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CAVA 75 CL FLES</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€ 8,00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OXFAM RODE WIJN FLES</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€ 8,00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OXFAM WITTE WIJN FLES</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€ 8,00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RODE WIJN GLAS</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RODE WIJN FLES</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€ 6,00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WITTE WIJN</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WITTE WIJN FLES</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€ 6,00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KOFFIE-THEE</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THEE / KOFFIE FILTER</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KOFFIE FILTER</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KOFFIE PER LITER</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SNACKS</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CHOCOMELK</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CHOCOLADE</w:t>
            </w:r>
          </w:p>
        </w:tc>
        <w:tc>
          <w:tcPr>
            <w:tcW w:w="1455"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€ 1,00</w:t>
            </w:r>
          </w:p>
        </w:tc>
      </w:tr>
      <w:tr>
        <w:tblPrEx>
          <w:tblW w:w="8265" w:type="dxa"/>
          <w:tblCellMar>
            <w:top w:w="0" w:type="dxa"/>
            <w:left w:w="0" w:type="dxa"/>
            <w:bottom w:w="0" w:type="dxa"/>
            <w:right w:w="0" w:type="dxa"/>
          </w:tblCellMar>
          <w:tblLook w:val="05E0"/>
        </w:tblPrEx>
        <w:trPr>
          <w:trHeight w:val="300"/>
        </w:trPr>
        <w:tc>
          <w:tcPr>
            <w:tcW w:w="6855" w:type="dxa"/>
            <w:tcBorders>
              <w:top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CROCKY CHIPS</w:t>
            </w:r>
          </w:p>
        </w:tc>
        <w:tc>
          <w:tcPr>
            <w:tcW w:w="1455" w:type="dxa"/>
            <w:tcBorders>
              <w:top w:val="inset" w:sz="6" w:space="0" w:color="808080"/>
              <w:left w:val="inset" w:sz="6" w:space="0" w:color="808080"/>
            </w:tcBorders>
            <w:noWrap w:val="0"/>
            <w:tcMar>
              <w:top w:w="0" w:type="dxa"/>
              <w:left w:w="0" w:type="dxa"/>
              <w:bottom w:w="0" w:type="dxa"/>
              <w:right w:w="0" w:type="dxa"/>
            </w:tcMar>
            <w:vAlign w:val="center"/>
            <w:hideMark/>
          </w:tcPr>
          <w:p>
            <w:pPr>
              <w:jc w:val="right"/>
              <w:rPr>
                <w:noProof/>
              </w:rPr>
            </w:pPr>
            <w:r>
              <w:rPr>
                <w:noProof/>
              </w:rPr>
              <w:t>€ 1,00</w:t>
            </w:r>
          </w:p>
        </w:tc>
      </w:tr>
    </w:tbl>
    <w:p>
      <w:pPr>
        <w:rPr>
          <w:noProof/>
        </w:rPr>
      </w:pPr>
      <w:r>
        <w:rPr>
          <w:noProof/>
        </w:rPr>
        <w:t>De prijs van het leeggoed wordt enkel aangerekend aan de huurder als niet alle leeggoed wordt teruggegeven.</w:t>
      </w:r>
    </w:p>
    <w:p>
      <w:pPr>
        <w:rPr>
          <w:noProof/>
        </w:rPr>
      </w:pPr>
      <w:r>
        <w:rPr>
          <w:noProof/>
        </w:rPr>
        <w:t>§6 prijslijst dranken en versnaperingen met bediening in Museum van Deinze en de Leiestreek</w:t>
      </w:r>
    </w:p>
    <w:tbl>
      <w:tblPr>
        <w:tblStyle w:val="table"/>
        <w:tblW w:w="8295"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Look w:val="05E0"/>
      </w:tblPr>
      <w:tblGrid>
        <w:gridCol w:w="6832"/>
        <w:gridCol w:w="1463"/>
      </w:tblGrid>
      <w:tr>
        <w:tblPrEx>
          <w:tblW w:w="8295"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Look w:val="05E0"/>
        </w:tblPrEx>
        <w:trPr>
          <w:trHeight w:val="300"/>
        </w:trPr>
        <w:tc>
          <w:tcPr>
            <w:tcW w:w="6870" w:type="dxa"/>
            <w:tcBorders>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BIEREN</w:t>
            </w:r>
          </w:p>
        </w:tc>
        <w:tc>
          <w:tcPr>
            <w:tcW w:w="1470" w:type="dxa"/>
            <w:tcBorders>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ALFRED BLOND</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€ 3,50</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BUYSSE LUCIEN BLOND/BRUIN</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€ 3,50</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CARLSBERG</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DUVEL</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€ 3,50</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GUEUZE BELLE VUE</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HOEGAARDEN</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KARMELIET TRIPEL</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€ 3,50</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KRIEK LINDEMANS</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JUPILER</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JUPILER 0,0%</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RODENBACH </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€ 2,50</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SINT CANARUS</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€ 3,50</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VEDETT</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WESTMALLE DOUBLE</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€ 3,50</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FRISDRANKEN</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COCA-COLA</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COCA-COLA ZERO </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FRUITSAPPEN</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LOOZA DIVERSE SMAKEN</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WATERS</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STRAAL SPUITWATER</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STRAAL PLAT WATER</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€ 2,00</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APERITIEVEN, EA </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FILLIERS GRAANJENEVER 30%</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PORTO OLD ROOD/WIT 19%</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€ 3,00</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CAVA, WIJNEN EA ...</w:t>
            </w:r>
            <w:r>
              <w:rPr>
                <w:noProof/>
              </w:rPr>
              <w:t>.</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CAVA</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€ 4,00</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CHAMPAGNE</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€ 7,00</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RODE WIJN</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€ 3,50</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WITTE WIJN</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€ 3,50</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b/>
                <w:bCs/>
                <w:noProof/>
              </w:rPr>
              <w:t>COCKTAILS</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rPr>
                <w:noProof/>
              </w:rPr>
            </w:pPr>
            <w:r>
              <w:rPr>
                <w:noProof/>
              </w:rPr>
              <w:t> </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GIN-TONIC</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€ 8,00</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MOJITO</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€ 8,00</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bottom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BLOODY MARY</w:t>
            </w:r>
          </w:p>
        </w:tc>
        <w:tc>
          <w:tcPr>
            <w:tcW w:w="1470" w:type="dxa"/>
            <w:tcBorders>
              <w:top w:val="inset" w:sz="6" w:space="0" w:color="808080"/>
              <w:left w:val="inset" w:sz="6" w:space="0" w:color="808080"/>
              <w:bottom w:val="inset" w:sz="6" w:space="0" w:color="808080"/>
            </w:tcBorders>
            <w:noWrap w:val="0"/>
            <w:tcMar>
              <w:top w:w="0" w:type="dxa"/>
              <w:left w:w="0" w:type="dxa"/>
              <w:bottom w:w="0" w:type="dxa"/>
              <w:right w:w="0" w:type="dxa"/>
            </w:tcMar>
            <w:vAlign w:val="center"/>
            <w:hideMark/>
          </w:tcPr>
          <w:p>
            <w:pPr>
              <w:jc w:val="right"/>
              <w:rPr>
                <w:noProof/>
              </w:rPr>
            </w:pPr>
            <w:r>
              <w:rPr>
                <w:noProof/>
              </w:rPr>
              <w:t>€ 8,00</w:t>
            </w:r>
          </w:p>
        </w:tc>
      </w:tr>
      <w:tr>
        <w:tblPrEx>
          <w:tblW w:w="8295" w:type="dxa"/>
          <w:tblCellMar>
            <w:top w:w="0" w:type="dxa"/>
            <w:left w:w="0" w:type="dxa"/>
            <w:bottom w:w="0" w:type="dxa"/>
            <w:right w:w="0" w:type="dxa"/>
          </w:tblCellMar>
          <w:tblLook w:val="05E0"/>
        </w:tblPrEx>
        <w:trPr>
          <w:trHeight w:val="300"/>
        </w:trPr>
        <w:tc>
          <w:tcPr>
            <w:tcW w:w="6870" w:type="dxa"/>
            <w:tcBorders>
              <w:top w:val="inset" w:sz="6" w:space="0" w:color="808080"/>
              <w:right w:val="inset" w:sz="6" w:space="0" w:color="808080"/>
            </w:tcBorders>
            <w:noWrap w:val="0"/>
            <w:tcMar>
              <w:top w:w="0" w:type="dxa"/>
              <w:left w:w="0" w:type="dxa"/>
              <w:bottom w:w="0" w:type="dxa"/>
              <w:right w:w="0" w:type="dxa"/>
            </w:tcMar>
            <w:vAlign w:val="center"/>
            <w:hideMark/>
          </w:tcPr>
          <w:p>
            <w:pPr>
              <w:rPr>
                <w:noProof/>
              </w:rPr>
            </w:pPr>
            <w:r>
              <w:rPr>
                <w:noProof/>
              </w:rPr>
              <w:t>LIMONCELLO TONIC</w:t>
            </w:r>
          </w:p>
        </w:tc>
        <w:tc>
          <w:tcPr>
            <w:tcW w:w="1470" w:type="dxa"/>
            <w:tcBorders>
              <w:top w:val="inset" w:sz="6" w:space="0" w:color="808080"/>
              <w:left w:val="inset" w:sz="6" w:space="0" w:color="808080"/>
            </w:tcBorders>
            <w:noWrap w:val="0"/>
            <w:tcMar>
              <w:top w:w="0" w:type="dxa"/>
              <w:left w:w="0" w:type="dxa"/>
              <w:bottom w:w="0" w:type="dxa"/>
              <w:right w:w="0" w:type="dxa"/>
            </w:tcMar>
            <w:vAlign w:val="center"/>
            <w:hideMark/>
          </w:tcPr>
          <w:p>
            <w:pPr>
              <w:jc w:val="right"/>
              <w:rPr>
                <w:noProof/>
              </w:rPr>
            </w:pPr>
            <w:r>
              <w:rPr>
                <w:noProof/>
              </w:rPr>
              <w:t>€ 8,00</w:t>
            </w:r>
          </w:p>
        </w:tc>
      </w:tr>
    </w:tbl>
    <w:p>
      <w:pPr>
        <w:rPr>
          <w:noProof/>
        </w:rPr>
      </w:pPr>
      <w:r>
        <w:rPr>
          <w:noProof/>
        </w:rPr>
        <w:t>§7 De verkoop van dranken en snacks in de koek-, snoep- en drankautomaten wordt bepaald als volgt : aankoopprijs x 1,30 x 1,06.</w:t>
      </w:r>
    </w:p>
    <w:p>
      <w:pPr>
        <w:rPr>
          <w:noProof/>
        </w:rPr>
      </w:pPr>
      <w:r>
        <w:rPr>
          <w:noProof/>
        </w:rPr>
        <w:t>Artikel 4</w:t>
      </w:r>
      <w:r>
        <w:rPr>
          <w:noProof/>
        </w:rPr>
        <w:br/>
      </w:r>
      <w:r>
        <w:rPr>
          <w:noProof/>
        </w:rPr>
        <w:t>Alle bovenvermelde tarieven zijn inclusief BTW.</w:t>
      </w:r>
    </w:p>
    <w:p>
      <w:pPr>
        <w:rPr>
          <w:noProof/>
        </w:rPr>
      </w:pPr>
      <w:r>
        <w:rPr>
          <w:b/>
          <w:bCs/>
          <w:noProof/>
        </w:rPr>
        <w:t>Wijze van betaling</w:t>
      </w:r>
    </w:p>
    <w:p>
      <w:pPr>
        <w:rPr>
          <w:noProof/>
        </w:rPr>
      </w:pPr>
      <w:r>
        <w:rPr>
          <w:noProof/>
        </w:rPr>
        <w:t>Artikel 6</w:t>
      </w:r>
      <w:r>
        <w:rPr>
          <w:noProof/>
        </w:rPr>
        <w:br/>
      </w:r>
      <w:r>
        <w:rPr>
          <w:noProof/>
        </w:rPr>
        <w:t>De retributie moet contant betaald worden bij aankoop van de dranken en versnaperingen. Een kwitantie wordt afgeleverd. Indien de retributie niet contant betaald wordt, wordt aan de retributieplichtige een factuur met het verschuldigde bedrag toegezonden. Het verschuldigde bedrag wordt betaald binnen dertig dagen vanaf de verzending van de factuur.</w:t>
      </w:r>
    </w:p>
    <w:p>
      <w:pPr>
        <w:rPr>
          <w:noProof/>
        </w:rPr>
      </w:pPr>
      <w:r>
        <w:rPr>
          <w:b/>
          <w:bCs/>
          <w:noProof/>
        </w:rPr>
        <w:t>Maatregelen bij weigering van betaling</w:t>
      </w:r>
    </w:p>
    <w:p>
      <w:pPr>
        <w:rPr>
          <w:noProof/>
        </w:rPr>
      </w:pPr>
      <w:r>
        <w:rPr>
          <w:noProof/>
        </w:rPr>
        <w:t>Artikel 7</w:t>
      </w:r>
      <w:r>
        <w:rPr>
          <w:noProof/>
        </w:rPr>
        <w:br/>
      </w:r>
      <w:r>
        <w:rPr>
          <w:noProof/>
        </w:rPr>
        <w:t>Bij weigering of nalatigheid om de retributie te betalen, geschiedt de invordering volgens de regels van de burgerlijke rechtspleging voor het betwiste gedeelte.</w:t>
      </w:r>
    </w:p>
    <w:p>
      <w:pPr>
        <w:rPr>
          <w:noProof/>
        </w:rPr>
      </w:pPr>
      <w:r>
        <w:rPr>
          <w:noProof/>
        </w:rPr>
        <w:t>Voor het niet-betwiste gedeelte van de niet-fiscale vorderingen geschiedt de invordering overeenkomstig artikel 177 van het decreet van 22 december 2017 over het lokaal bestuur.</w:t>
      </w:r>
    </w:p>
    <w:p w:rsidR="000A2EF7" w:rsidP="000A2EF7" w14:paraId="4739ADDE" w14:textId="3C07E407">
      <w:pPr>
        <w:spacing w:before="240" w:after="0"/>
      </w:pPr>
      <w:r w:rsidRPr="000A2EF7">
        <w:t xml:space="preserve">Beslist in zitting van </w:t>
      </w:r>
      <w:r w:rsidRPr="000A2EF7">
        <w:rPr>
          <w:noProof/>
        </w:rPr>
        <w:t>25 maart 2025</w:t>
      </w:r>
    </w:p>
    <w:p w:rsidR="00CB2A86" w:rsidP="000A2EF7" w14:paraId="70A76019" w14:textId="77777777">
      <w:pPr>
        <w:spacing w:before="240" w:after="0"/>
      </w:pPr>
    </w:p>
    <w:tbl>
      <w:tblPr>
        <w:tblW w:w="9815" w:type="dxa"/>
        <w:tblLook w:val="04A0"/>
      </w:tblPr>
      <w:tblGrid>
        <w:gridCol w:w="3715"/>
        <w:gridCol w:w="2126"/>
        <w:gridCol w:w="3974"/>
      </w:tblGrid>
      <w:tr w14:paraId="1E5E5DDB" w14:textId="77777777" w:rsidTr="00A1327C">
        <w:tblPrEx>
          <w:tblW w:w="9815" w:type="dxa"/>
          <w:tblLook w:val="04A0"/>
        </w:tblPrEx>
        <w:tc>
          <w:tcPr>
            <w:tcW w:w="9815" w:type="dxa"/>
            <w:gridSpan w:val="3"/>
            <w:shd w:val="clear" w:color="auto" w:fill="auto"/>
          </w:tcPr>
          <w:p w:rsidR="00CB2A86" w:rsidP="00A1327C" w14:paraId="4EAEAE37" w14:textId="2AC75F84">
            <w:pPr>
              <w:jc w:val="center"/>
            </w:pPr>
            <w:r>
              <w:t>Namens de raad van bestuur</w:t>
            </w:r>
            <w:r w:rsidR="00136D7A">
              <w:t xml:space="preserve"> AGB stad Deinze</w:t>
            </w:r>
          </w:p>
        </w:tc>
      </w:tr>
      <w:tr w14:paraId="6BB5E2CE" w14:textId="77777777" w:rsidTr="00A1327C">
        <w:tblPrEx>
          <w:tblW w:w="9815" w:type="dxa"/>
          <w:tblLook w:val="04A0"/>
        </w:tblPrEx>
        <w:tc>
          <w:tcPr>
            <w:tcW w:w="3715" w:type="dxa"/>
            <w:shd w:val="clear" w:color="auto" w:fill="auto"/>
          </w:tcPr>
          <w:p w:rsidR="00CB2A86" w:rsidP="00A1327C" w14:paraId="2543674A" w14:textId="2FA30BDB">
            <w:r w:rsidRPr="008B1413">
              <w:t xml:space="preserve">De </w:t>
            </w:r>
            <w:r>
              <w:rPr>
                <w:noProof/>
              </w:rPr>
              <w:t>secretaris AGB Stad Deinze</w:t>
            </w:r>
            <w:r w:rsidRPr="008B1413">
              <w:t>,</w:t>
            </w:r>
          </w:p>
          <w:p w:rsidR="00CB2A86" w:rsidRPr="008B1413" w:rsidP="00A1327C" w14:paraId="25DE355C" w14:textId="7400E624">
            <w:r>
              <w:rPr>
                <w:noProof/>
              </w:rPr>
              <w:t>Stefanie De Vlieger</w:t>
            </w:r>
          </w:p>
        </w:tc>
        <w:tc>
          <w:tcPr>
            <w:tcW w:w="2126" w:type="dxa"/>
            <w:shd w:val="clear" w:color="auto" w:fill="auto"/>
          </w:tcPr>
          <w:p w:rsidR="00CB2A86" w:rsidRPr="008B1413" w:rsidP="00A1327C" w14:paraId="58B1DC18" w14:textId="77777777"/>
        </w:tc>
        <w:tc>
          <w:tcPr>
            <w:tcW w:w="3974" w:type="dxa"/>
            <w:shd w:val="clear" w:color="auto" w:fill="auto"/>
          </w:tcPr>
          <w:p w:rsidR="00CB2A86" w:rsidP="00A1327C" w14:paraId="3A555E1C" w14:textId="0B24A94C">
            <w:pPr>
              <w:jc w:val="right"/>
            </w:pPr>
            <w:r w:rsidRPr="008B1413">
              <w:t xml:space="preserve">De </w:t>
            </w:r>
            <w:r>
              <w:rPr>
                <w:noProof/>
              </w:rPr>
              <w:t>voorzitter AGB stad Deinze</w:t>
            </w:r>
            <w:r w:rsidRPr="008B1413">
              <w:t>,</w:t>
            </w:r>
          </w:p>
          <w:p w:rsidR="00CB2A86" w:rsidRPr="008B1413" w:rsidP="00A1327C" w14:paraId="78082665" w14:textId="4A80978E">
            <w:pPr>
              <w:jc w:val="right"/>
            </w:pPr>
            <w:r>
              <w:rPr>
                <w:noProof/>
              </w:rPr>
              <w:t>Rutger De Reu</w:t>
            </w:r>
          </w:p>
        </w:tc>
      </w:tr>
      <w:tr w14:paraId="72AFDE2C" w14:textId="77777777" w:rsidTr="00A1327C">
        <w:tblPrEx>
          <w:tblW w:w="9815" w:type="dxa"/>
          <w:tblLook w:val="04A0"/>
        </w:tblPrEx>
        <w:tc>
          <w:tcPr>
            <w:tcW w:w="9815" w:type="dxa"/>
            <w:gridSpan w:val="3"/>
            <w:shd w:val="clear" w:color="auto" w:fill="auto"/>
          </w:tcPr>
          <w:p w:rsidR="00CB2A86" w:rsidRPr="008B1413" w:rsidP="00A1327C" w14:paraId="3BCAEB41" w14:textId="7C3454AC">
            <w:pPr>
              <w:jc w:val="center"/>
            </w:pPr>
            <w:r>
              <w:t>Voor éénsluidend afschrift,</w:t>
            </w:r>
            <w:r>
              <w:br/>
              <w:t xml:space="preserve">Deinze, </w:t>
            </w:r>
            <w:r>
              <w:fldChar w:fldCharType="begin"/>
            </w:r>
            <w:r>
              <w:instrText xml:space="preserve"> DATE  \@ "d MMMM yyyy"  \* MERGEFORMAT </w:instrText>
            </w:r>
            <w:r>
              <w:fldChar w:fldCharType="separate"/>
            </w:r>
            <w:r w:rsidR="00FC5508">
              <w:rPr>
                <w:noProof/>
              </w:rPr>
              <w:t>31 maart 2025</w:t>
            </w:r>
            <w:r>
              <w:fldChar w:fldCharType="end"/>
            </w:r>
          </w:p>
        </w:tc>
      </w:tr>
    </w:tbl>
    <w:p w:rsidR="001B7044" w:rsidRPr="00A56E3A" w:rsidP="001B7044" w14:paraId="6FBA4BAF" w14:textId="77777777">
      <w:pPr>
        <w:tabs>
          <w:tab w:val="left" w:pos="6379"/>
        </w:tabs>
        <w:ind w:hanging="851"/>
        <w:rPr>
          <w:sz w:val="4"/>
          <w:szCs w:val="4"/>
        </w:rPr>
      </w:pPr>
    </w:p>
    <w:p w:rsidR="001B7044" w:rsidRPr="00A56E3A" w:rsidP="001B7044" w14:paraId="58F67AF3" w14:textId="071E242E">
      <w:pPr>
        <w:tabs>
          <w:tab w:val="left" w:pos="6379"/>
        </w:tabs>
        <w:ind w:hanging="709"/>
        <w:rPr>
          <w:rFonts w:ascii="Arial" w:hAnsi="Arial" w:cs="Arial"/>
          <w:color w:val="DFDFDF" w:themeColor="background1"/>
          <w:sz w:val="4"/>
          <w:szCs w:val="4"/>
        </w:rPr>
      </w:pPr>
      <w:r w:rsidRPr="00A56E3A">
        <w:rPr>
          <w:rFonts w:ascii="Arial" w:hAnsi="Arial" w:cs="Arial"/>
          <w:color w:val="DFDFDF" w:themeColor="background1"/>
          <w:sz w:val="4"/>
          <w:szCs w:val="4"/>
        </w:rPr>
        <w:t>#$ondertekening</w:t>
      </w:r>
      <w:r w:rsidRPr="00A56E3A" w:rsidR="00A56E3A">
        <w:rPr>
          <w:rFonts w:ascii="Arial" w:hAnsi="Arial" w:cs="Arial"/>
          <w:color w:val="DFDFDF" w:themeColor="background1"/>
          <w:sz w:val="4"/>
          <w:szCs w:val="4"/>
        </w:rPr>
        <w:t>1</w:t>
      </w:r>
      <w:r w:rsidRPr="00A56E3A">
        <w:rPr>
          <w:rFonts w:ascii="Arial" w:hAnsi="Arial" w:cs="Arial"/>
          <w:color w:val="DFDFDF" w:themeColor="background1"/>
          <w:sz w:val="4"/>
          <w:szCs w:val="4"/>
        </w:rPr>
        <w:t>$#</w:t>
      </w:r>
      <w:r w:rsidRPr="00A56E3A">
        <w:rPr>
          <w:rFonts w:ascii="Arial" w:hAnsi="Arial" w:cs="Arial"/>
          <w:color w:val="DFDFDF" w:themeColor="background1"/>
          <w:sz w:val="4"/>
          <w:szCs w:val="4"/>
        </w:rPr>
        <w:tab/>
      </w:r>
      <w:r w:rsidRPr="00A56E3A">
        <w:rPr>
          <w:rFonts w:ascii="Arial" w:hAnsi="Arial" w:cs="Arial"/>
          <w:color w:val="DFDFDF" w:themeColor="background1"/>
          <w:sz w:val="4"/>
          <w:szCs w:val="4"/>
        </w:rPr>
        <w:tab/>
        <w:t>#$ondertekening</w:t>
      </w:r>
      <w:r w:rsidRPr="00A56E3A" w:rsidR="00A56E3A">
        <w:rPr>
          <w:rFonts w:ascii="Arial" w:hAnsi="Arial" w:cs="Arial"/>
          <w:color w:val="DFDFDF" w:themeColor="background1"/>
          <w:sz w:val="4"/>
          <w:szCs w:val="4"/>
        </w:rPr>
        <w:t>2</w:t>
      </w:r>
      <w:r w:rsidRPr="00A56E3A">
        <w:rPr>
          <w:rFonts w:ascii="Arial" w:hAnsi="Arial" w:cs="Arial"/>
          <w:color w:val="DFDFDF" w:themeColor="background1"/>
          <w:sz w:val="4"/>
          <w:szCs w:val="4"/>
        </w:rPr>
        <w:t>$#</w:t>
      </w:r>
    </w:p>
    <w:p w:rsidR="001B7044" w:rsidRPr="00A56E3A" w:rsidP="001B7044" w14:paraId="02D79838" w14:textId="77777777">
      <w:pPr>
        <w:tabs>
          <w:tab w:val="left" w:pos="6379"/>
        </w:tabs>
        <w:rPr>
          <w:szCs w:val="20"/>
        </w:rPr>
      </w:pPr>
    </w:p>
    <w:p w:rsidR="001B7044" w:rsidRPr="00A56E3A" w:rsidP="001B7044" w14:paraId="23F74AF4" w14:textId="77777777">
      <w:pPr>
        <w:tabs>
          <w:tab w:val="left" w:pos="6379"/>
        </w:tabs>
        <w:rPr>
          <w:szCs w:val="20"/>
        </w:rPr>
      </w:pPr>
    </w:p>
    <w:p w:rsidR="001B7044" w:rsidRPr="00A56E3A" w:rsidP="001B7044" w14:paraId="6103255E" w14:textId="77777777">
      <w:pPr>
        <w:tabs>
          <w:tab w:val="left" w:pos="6379"/>
        </w:tabs>
        <w:rPr>
          <w:szCs w:val="20"/>
        </w:rPr>
      </w:pPr>
    </w:p>
    <w:p w:rsidR="001B7044" w:rsidRPr="00A56E3A" w:rsidP="001B7044" w14:paraId="50BD76DE" w14:textId="77777777">
      <w:pPr>
        <w:pStyle w:val="Footer"/>
        <w:tabs>
          <w:tab w:val="left" w:pos="851"/>
        </w:tabs>
        <w:rPr>
          <w:rFonts w:ascii="Arial" w:hAnsi="Arial" w:cs="Arial"/>
          <w:color w:val="DFDFDF" w:themeColor="background1"/>
          <w:sz w:val="4"/>
          <w:szCs w:val="4"/>
        </w:rPr>
      </w:pPr>
      <w:r w:rsidRPr="00A56E3A">
        <w:rPr>
          <w:rFonts w:ascii="Arial" w:hAnsi="Arial" w:cs="Arial"/>
          <w:color w:val="DFDFDF" w:themeColor="background1"/>
          <w:sz w:val="4"/>
          <w:szCs w:val="4"/>
        </w:rPr>
        <w:t>#$stempel$#</w:t>
      </w:r>
    </w:p>
    <w:sectPr>
      <w:footerReference w:type="default" r:id="rId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oppins">
    <w:panose1 w:val="02000000000000000000"/>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630270591"/>
      <w:docPartObj>
        <w:docPartGallery w:val="Page Numbers (Bottom of Page)"/>
        <w:docPartUnique/>
      </w:docPartObj>
    </w:sdtPr>
    <w:sdtContent>
      <w:p w:rsidR="00FF68A6" w14:paraId="398D911C" w14:textId="59A52BFF">
        <w:pPr>
          <w:pStyle w:val="Footer"/>
          <w:jc w:val="right"/>
        </w:pPr>
        <w:r>
          <w:fldChar w:fldCharType="begin"/>
        </w:r>
        <w:r>
          <w:instrText>PAGE   \* MERGEFORMAT</w:instrText>
        </w:r>
        <w:r>
          <w:fldChar w:fldCharType="separate"/>
        </w:r>
        <w:r w:rsidRPr="00FF68A6">
          <w:rPr>
            <w:noProof/>
            <w:lang w:val="nl-NL"/>
          </w:rPr>
          <w:t>14</w:t>
        </w:r>
        <w:r>
          <w:fldChar w:fldCharType="end"/>
        </w:r>
      </w:p>
    </w:sdtContent>
  </w:sdt>
  <w:p w:rsidR="00FF68A6" w14:paraId="29D057DA" w14:textId="7777777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15:restartNumberingAfterBreak="1">
    <w:nsid w:val="FFFFFF7C"/>
    <w:multiLevelType w:val="singleLevel"/>
    <w:tmpl w:val="488C91F0"/>
    <w:lvl w:ilvl="0">
      <w:start w:val="1"/>
      <w:numFmt w:val="decimal"/>
      <w:lvlText w:val="%1."/>
      <w:lvlJc w:val="left"/>
      <w:pPr>
        <w:tabs>
          <w:tab w:val="num" w:pos="1492"/>
        </w:tabs>
        <w:ind w:left="1492" w:hanging="360"/>
      </w:pPr>
    </w:lvl>
  </w:abstractNum>
  <w:abstractNum w:abstractNumId="1" w15:restartNumberingAfterBreak="1">
    <w:nsid w:val="FFFFFF7D"/>
    <w:multiLevelType w:val="singleLevel"/>
    <w:tmpl w:val="13BEB690"/>
    <w:lvl w:ilvl="0">
      <w:start w:val="1"/>
      <w:numFmt w:val="decimal"/>
      <w:lvlText w:val="%1."/>
      <w:lvlJc w:val="left"/>
      <w:pPr>
        <w:tabs>
          <w:tab w:val="num" w:pos="1209"/>
        </w:tabs>
        <w:ind w:left="1209" w:hanging="360"/>
      </w:pPr>
    </w:lvl>
  </w:abstractNum>
  <w:abstractNum w:abstractNumId="2" w15:restartNumberingAfterBreak="1">
    <w:nsid w:val="FFFFFF7E"/>
    <w:multiLevelType w:val="singleLevel"/>
    <w:tmpl w:val="F31E8BF0"/>
    <w:lvl w:ilvl="0">
      <w:start w:val="1"/>
      <w:numFmt w:val="decimal"/>
      <w:lvlText w:val="%1."/>
      <w:lvlJc w:val="left"/>
      <w:pPr>
        <w:tabs>
          <w:tab w:val="num" w:pos="926"/>
        </w:tabs>
        <w:ind w:left="926" w:hanging="360"/>
      </w:pPr>
    </w:lvl>
  </w:abstractNum>
  <w:abstractNum w:abstractNumId="3" w15:restartNumberingAfterBreak="1">
    <w:nsid w:val="FFFFFF7F"/>
    <w:multiLevelType w:val="singleLevel"/>
    <w:tmpl w:val="7930C0B8"/>
    <w:lvl w:ilvl="0">
      <w:start w:val="1"/>
      <w:numFmt w:val="decimal"/>
      <w:lvlText w:val="%1."/>
      <w:lvlJc w:val="left"/>
      <w:pPr>
        <w:tabs>
          <w:tab w:val="num" w:pos="643"/>
        </w:tabs>
        <w:ind w:left="643" w:hanging="360"/>
      </w:pPr>
    </w:lvl>
  </w:abstractNum>
  <w:abstractNum w:abstractNumId="4" w15:restartNumberingAfterBreak="1">
    <w:nsid w:val="FFFFFF80"/>
    <w:multiLevelType w:val="singleLevel"/>
    <w:tmpl w:val="6AE0857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A2CA9D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1A3E1FF6"/>
    <w:lvl w:ilvl="0">
      <w:start w:val="1"/>
      <w:numFmt w:val="bullet"/>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A31609A4"/>
    <w:lvl w:ilvl="0">
      <w:start w:val="1"/>
      <w:numFmt w:val="bullet"/>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A6E40656"/>
    <w:lvl w:ilvl="0">
      <w:start w:val="1"/>
      <w:numFmt w:val="decimal"/>
      <w:lvlText w:val="%1."/>
      <w:lvlJc w:val="left"/>
      <w:pPr>
        <w:tabs>
          <w:tab w:val="num" w:pos="360"/>
        </w:tabs>
        <w:ind w:left="360" w:hanging="360"/>
      </w:pPr>
    </w:lvl>
  </w:abstractNum>
  <w:abstractNum w:abstractNumId="9" w15:restartNumberingAfterBreak="1">
    <w:nsid w:val="FFFFFF89"/>
    <w:multiLevelType w:val="singleLevel"/>
    <w:tmpl w:val="F09ADC64"/>
    <w:lvl w:ilvl="0">
      <w:start w:val="1"/>
      <w:numFmt w:val="bullet"/>
      <w:lvlText w:val=""/>
      <w:lvlJc w:val="left"/>
      <w:pPr>
        <w:tabs>
          <w:tab w:val="num" w:pos="360"/>
        </w:tabs>
        <w:ind w:left="360" w:hanging="360"/>
      </w:pPr>
      <w:rPr>
        <w:rFonts w:ascii="Symbol" w:hAnsi="Symbol" w:hint="default"/>
      </w:rPr>
    </w:lvl>
  </w:abstractNum>
  <w:abstractNum w:abstractNumId="10" w15:restartNumberingAfterBreak="1">
    <w:nsid w:val="119839F6"/>
    <w:multiLevelType w:val="multilevel"/>
    <w:tmpl w:val="0798CAB0"/>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1">
    <w:nsid w:val="13572777"/>
    <w:multiLevelType w:val="hybridMultilevel"/>
    <w:tmpl w:val="9E5820F6"/>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15:restartNumberingAfterBreak="1">
    <w:nsid w:val="5455120C"/>
    <w:multiLevelType w:val="hybridMultilevel"/>
    <w:tmpl w:val="1C681E7E"/>
    <w:lvl w:ilvl="0">
      <w:start w:val="1"/>
      <w:numFmt w:val="decimal"/>
      <w:lvlText w:val="%1."/>
      <w:lvlJc w:val="left"/>
      <w:pPr>
        <w:ind w:left="720" w:hanging="360"/>
      </w:pPr>
      <w:rPr>
        <w:rFonts w:hint="default"/>
        <w:spacing w:val="-36"/>
        <w:w w:val="100"/>
        <w:position w:val="0"/>
        <w14:numForm w14:val="lining"/>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15:restartNumberingAfterBreak="1">
    <w:nsid w:val="5455120D"/>
    <w:multiLevelType w:val="hybridMultilevel"/>
    <w:tmpl w:val="5455120D"/>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10"/>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1024"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AB3"/>
    <w:rsid w:val="0001242F"/>
    <w:rsid w:val="00016A2E"/>
    <w:rsid w:val="000841BA"/>
    <w:rsid w:val="000A2EF7"/>
    <w:rsid w:val="000B0984"/>
    <w:rsid w:val="000F2684"/>
    <w:rsid w:val="00132038"/>
    <w:rsid w:val="00136D7A"/>
    <w:rsid w:val="00160002"/>
    <w:rsid w:val="001B7044"/>
    <w:rsid w:val="001E7636"/>
    <w:rsid w:val="002043A5"/>
    <w:rsid w:val="00211A49"/>
    <w:rsid w:val="0024441C"/>
    <w:rsid w:val="00246629"/>
    <w:rsid w:val="003856B6"/>
    <w:rsid w:val="003C5ED1"/>
    <w:rsid w:val="004426AA"/>
    <w:rsid w:val="00451104"/>
    <w:rsid w:val="004865AC"/>
    <w:rsid w:val="004C715E"/>
    <w:rsid w:val="00531E89"/>
    <w:rsid w:val="0053658B"/>
    <w:rsid w:val="005E18A1"/>
    <w:rsid w:val="00673523"/>
    <w:rsid w:val="006C2756"/>
    <w:rsid w:val="00710470"/>
    <w:rsid w:val="0072406B"/>
    <w:rsid w:val="007258EC"/>
    <w:rsid w:val="007A7196"/>
    <w:rsid w:val="007C1F22"/>
    <w:rsid w:val="007E4380"/>
    <w:rsid w:val="00816F3E"/>
    <w:rsid w:val="00821233"/>
    <w:rsid w:val="008B1413"/>
    <w:rsid w:val="008B450C"/>
    <w:rsid w:val="008C39EC"/>
    <w:rsid w:val="008F5ADF"/>
    <w:rsid w:val="009868D6"/>
    <w:rsid w:val="009C0B01"/>
    <w:rsid w:val="009D1AB3"/>
    <w:rsid w:val="009F6CCD"/>
    <w:rsid w:val="00A07320"/>
    <w:rsid w:val="00A1327C"/>
    <w:rsid w:val="00A56E3A"/>
    <w:rsid w:val="00AA2DCD"/>
    <w:rsid w:val="00AB2E92"/>
    <w:rsid w:val="00B060C5"/>
    <w:rsid w:val="00B076FB"/>
    <w:rsid w:val="00B90A10"/>
    <w:rsid w:val="00BB4AC7"/>
    <w:rsid w:val="00CA5B79"/>
    <w:rsid w:val="00CB2A86"/>
    <w:rsid w:val="00D167A1"/>
    <w:rsid w:val="00D73F73"/>
    <w:rsid w:val="00DF37C3"/>
    <w:rsid w:val="00E25770"/>
    <w:rsid w:val="00E91353"/>
    <w:rsid w:val="00F013A3"/>
    <w:rsid w:val="00F32F8F"/>
    <w:rsid w:val="00FA6372"/>
    <w:rsid w:val="00FC3E79"/>
    <w:rsid w:val="00FC5508"/>
    <w:rsid w:val="00FD7932"/>
    <w:rsid w:val="00FF68A6"/>
  </w:rsids>
  <m:mathPr>
    <m:mathFont m:val="Cambria Math"/>
  </m:mathPr>
  <w:themeFontLang w:val="nl-BE"/>
  <w:clrSchemeMapping w:bg1="light1" w:t1="dark1" w:bg2="light2" w:t2="dark2" w:accent1="accent1" w:accent2="accent2" w:accent3="accent3" w:accent4="accent4" w:accent5="accent5" w:accent6="accent6" w:hyperlink="hyperlink" w:followedHyperlink="followedHyperlink"/>
  <w14:docId w14:val="37B6FFA3"/>
  <w15:chartTrackingRefBased/>
  <w15:docId w15:val="{00FB7213-47E8-4D05-B8E1-6F01D467B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56B6"/>
    <w:pPr>
      <w:spacing w:after="80" w:line="240" w:lineRule="auto"/>
    </w:pPr>
    <w:rPr>
      <w:sz w:val="20"/>
    </w:rPr>
  </w:style>
  <w:style w:type="paragraph" w:styleId="Heading1">
    <w:name w:val="heading 1"/>
    <w:basedOn w:val="Normal"/>
    <w:next w:val="Normal"/>
    <w:link w:val="Kop1Char"/>
    <w:uiPriority w:val="9"/>
    <w:qFormat/>
    <w:rsid w:val="00E91353"/>
    <w:pPr>
      <w:spacing w:after="0"/>
      <w:outlineLvl w:val="0"/>
    </w:pPr>
    <w:rPr>
      <w:rFonts w:ascii="Calibri" w:hAnsi="Calibri"/>
      <w:b/>
      <w:sz w:val="28"/>
      <w:szCs w:val="28"/>
    </w:rPr>
  </w:style>
  <w:style w:type="paragraph" w:styleId="Heading2">
    <w:name w:val="heading 2"/>
    <w:basedOn w:val="Normal"/>
    <w:next w:val="Normal"/>
    <w:link w:val="Kop2Char"/>
    <w:uiPriority w:val="9"/>
    <w:semiHidden/>
    <w:unhideWhenUsed/>
    <w:qFormat/>
    <w:rsid w:val="0001242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Kop3Char"/>
    <w:uiPriority w:val="9"/>
    <w:semiHidden/>
    <w:unhideWhenUsed/>
    <w:qFormat/>
    <w:rsid w:val="00E9135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9">
    <w:name w:val="heading 9"/>
    <w:basedOn w:val="Normal"/>
    <w:next w:val="Normal"/>
    <w:link w:val="Kop9Char"/>
    <w:uiPriority w:val="9"/>
    <w:semiHidden/>
    <w:unhideWhenUsed/>
    <w:qFormat/>
    <w:rsid w:val="00012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dapuntKop1">
    <w:name w:val="AgendapuntKop1"/>
    <w:basedOn w:val="Normal"/>
    <w:qFormat/>
    <w:rsid w:val="0001242F"/>
    <w:pPr>
      <w:spacing w:before="360" w:after="240"/>
    </w:pPr>
    <w:rPr>
      <w:b/>
      <w:sz w:val="24"/>
    </w:rPr>
  </w:style>
  <w:style w:type="paragraph" w:customStyle="1" w:styleId="AgendapuntKop2">
    <w:name w:val="AgendapuntKop2"/>
    <w:basedOn w:val="Normal"/>
    <w:link w:val="AgendapuntKop2Char"/>
    <w:qFormat/>
    <w:rsid w:val="003C5ED1"/>
    <w:pPr>
      <w:spacing w:after="0"/>
    </w:pPr>
    <w:rPr>
      <w:b/>
      <w:caps/>
      <w:color w:val="000000" w:themeColor="text1"/>
    </w:rPr>
  </w:style>
  <w:style w:type="paragraph" w:customStyle="1" w:styleId="AgendapuntKop3">
    <w:name w:val="AgendapuntKop3"/>
    <w:basedOn w:val="Normal"/>
    <w:qFormat/>
    <w:rsid w:val="003C5ED1"/>
    <w:pPr>
      <w:spacing w:after="0"/>
    </w:pPr>
    <w:rPr>
      <w:color w:val="DFDFDF" w:themeColor="background1"/>
      <w:sz w:val="2"/>
    </w:rPr>
  </w:style>
  <w:style w:type="paragraph" w:customStyle="1" w:styleId="Tekstvaklabel">
    <w:name w:val="Tekstvaklabel"/>
    <w:basedOn w:val="Normal"/>
    <w:qFormat/>
    <w:rsid w:val="003856B6"/>
    <w:pPr>
      <w:spacing w:before="240" w:after="120"/>
    </w:pPr>
    <w:rPr>
      <w:b/>
    </w:rPr>
  </w:style>
  <w:style w:type="paragraph" w:customStyle="1" w:styleId="AgendapuntTitel">
    <w:name w:val="AgendapuntTitel"/>
    <w:basedOn w:val="Normal"/>
    <w:qFormat/>
    <w:rsid w:val="003856B6"/>
    <w:pPr>
      <w:tabs>
        <w:tab w:val="left" w:pos="567"/>
      </w:tabs>
      <w:spacing w:before="360" w:after="360"/>
    </w:pPr>
    <w:rPr>
      <w:b/>
    </w:rPr>
  </w:style>
  <w:style w:type="table" w:styleId="TableGrid">
    <w:name w:val="Table Grid"/>
    <w:basedOn w:val="TableNormal"/>
    <w:uiPriority w:val="39"/>
    <w:rsid w:val="002444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gendapuntKop2Char">
    <w:name w:val="AgendapuntKop2 Char"/>
    <w:link w:val="AgendapuntKop2"/>
    <w:rsid w:val="003C5ED1"/>
    <w:rPr>
      <w:b/>
      <w:caps/>
      <w:color w:val="000000" w:themeColor="text1"/>
    </w:rPr>
  </w:style>
  <w:style w:type="character" w:customStyle="1" w:styleId="Kop1Char">
    <w:name w:val="Kop 1 Char"/>
    <w:basedOn w:val="DefaultParagraphFont"/>
    <w:link w:val="Heading1"/>
    <w:uiPriority w:val="9"/>
    <w:rsid w:val="00E91353"/>
    <w:rPr>
      <w:rFonts w:ascii="Calibri" w:hAnsi="Calibri"/>
      <w:b/>
      <w:sz w:val="28"/>
      <w:szCs w:val="28"/>
    </w:rPr>
  </w:style>
  <w:style w:type="character" w:customStyle="1" w:styleId="Kop3Char">
    <w:name w:val="Kop 3 Char"/>
    <w:basedOn w:val="DefaultParagraphFont"/>
    <w:link w:val="Heading3"/>
    <w:uiPriority w:val="9"/>
    <w:semiHidden/>
    <w:rsid w:val="00E91353"/>
    <w:rPr>
      <w:rFonts w:asciiTheme="majorHAnsi" w:eastAsiaTheme="majorEastAsia" w:hAnsiTheme="majorHAnsi" w:cstheme="majorBidi"/>
      <w:color w:val="1F4D78" w:themeColor="accent1" w:themeShade="7F"/>
      <w:sz w:val="24"/>
      <w:szCs w:val="24"/>
    </w:rPr>
  </w:style>
  <w:style w:type="character" w:customStyle="1" w:styleId="Kop2Char">
    <w:name w:val="Kop 2 Char"/>
    <w:basedOn w:val="DefaultParagraphFont"/>
    <w:link w:val="Heading2"/>
    <w:uiPriority w:val="9"/>
    <w:semiHidden/>
    <w:rsid w:val="0001242F"/>
    <w:rPr>
      <w:rFonts w:asciiTheme="majorHAnsi" w:eastAsiaTheme="majorEastAsia" w:hAnsiTheme="majorHAnsi" w:cstheme="majorBidi"/>
      <w:color w:val="2E74B5" w:themeColor="accent1" w:themeShade="BF"/>
      <w:sz w:val="26"/>
      <w:szCs w:val="26"/>
    </w:rPr>
  </w:style>
  <w:style w:type="character" w:customStyle="1" w:styleId="Kop9Char">
    <w:name w:val="Kop 9 Char"/>
    <w:basedOn w:val="DefaultParagraphFont"/>
    <w:link w:val="Heading9"/>
    <w:uiPriority w:val="9"/>
    <w:semiHidden/>
    <w:rsid w:val="0001242F"/>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4865AC"/>
    <w:pPr>
      <w:tabs>
        <w:tab w:val="left" w:pos="440"/>
        <w:tab w:val="right" w:leader="dot" w:pos="9062"/>
      </w:tabs>
      <w:spacing w:after="100"/>
      <w:ind w:left="170"/>
    </w:pPr>
    <w:rPr>
      <w:b/>
      <w:caps/>
    </w:rPr>
  </w:style>
  <w:style w:type="character" w:styleId="Hyperlink">
    <w:name w:val="Hyperlink"/>
    <w:basedOn w:val="DefaultParagraphFont"/>
    <w:uiPriority w:val="99"/>
    <w:unhideWhenUsed/>
    <w:rsid w:val="0001242F"/>
    <w:rPr>
      <w:color w:val="0563C1" w:themeColor="hyperlink"/>
      <w:u w:val="single"/>
    </w:rPr>
  </w:style>
  <w:style w:type="paragraph" w:styleId="TOC1">
    <w:name w:val="toc 1"/>
    <w:basedOn w:val="Normal"/>
    <w:next w:val="Normal"/>
    <w:autoRedefine/>
    <w:uiPriority w:val="39"/>
    <w:semiHidden/>
    <w:unhideWhenUsed/>
    <w:rsid w:val="004865AC"/>
    <w:pPr>
      <w:spacing w:before="100" w:after="100"/>
    </w:pPr>
    <w:rPr>
      <w:b/>
      <w:caps/>
    </w:rPr>
  </w:style>
  <w:style w:type="paragraph" w:styleId="Header">
    <w:name w:val="header"/>
    <w:basedOn w:val="Normal"/>
    <w:link w:val="KoptekstChar"/>
    <w:uiPriority w:val="99"/>
    <w:unhideWhenUsed/>
    <w:rsid w:val="007C1F22"/>
    <w:pPr>
      <w:tabs>
        <w:tab w:val="center" w:pos="4536"/>
        <w:tab w:val="right" w:pos="9072"/>
      </w:tabs>
      <w:spacing w:after="0"/>
    </w:pPr>
  </w:style>
  <w:style w:type="character" w:customStyle="1" w:styleId="KoptekstChar">
    <w:name w:val="Koptekst Char"/>
    <w:basedOn w:val="DefaultParagraphFont"/>
    <w:link w:val="Header"/>
    <w:uiPriority w:val="99"/>
    <w:rsid w:val="007C1F22"/>
    <w:rPr>
      <w:sz w:val="20"/>
    </w:rPr>
  </w:style>
  <w:style w:type="paragraph" w:styleId="Footer">
    <w:name w:val="footer"/>
    <w:basedOn w:val="Normal"/>
    <w:link w:val="VoettekstChar"/>
    <w:uiPriority w:val="99"/>
    <w:unhideWhenUsed/>
    <w:rsid w:val="007C1F22"/>
    <w:pPr>
      <w:tabs>
        <w:tab w:val="center" w:pos="4536"/>
        <w:tab w:val="right" w:pos="9072"/>
      </w:tabs>
      <w:spacing w:after="0"/>
    </w:pPr>
  </w:style>
  <w:style w:type="character" w:customStyle="1" w:styleId="VoettekstChar">
    <w:name w:val="Voettekst Char"/>
    <w:basedOn w:val="DefaultParagraphFont"/>
    <w:link w:val="Footer"/>
    <w:uiPriority w:val="99"/>
    <w:rsid w:val="007C1F22"/>
    <w:rPr>
      <w:sz w:val="20"/>
    </w:rPr>
  </w:style>
  <w:style w:type="table" w:customStyle="1" w:styleId="Tabelraster1">
    <w:name w:val="Tabelraster1"/>
    <w:basedOn w:val="TableNormal"/>
    <w:next w:val="TableGrid"/>
    <w:uiPriority w:val="59"/>
    <w:rsid w:val="008F5AD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3">
    <w:name w:val="toc 3"/>
    <w:basedOn w:val="Normal"/>
    <w:next w:val="Normal"/>
    <w:autoRedefine/>
    <w:uiPriority w:val="39"/>
    <w:unhideWhenUsed/>
    <w:rsid w:val="004865AC"/>
    <w:pPr>
      <w:spacing w:after="100"/>
      <w:ind w:left="1106" w:hanging="709"/>
    </w:pPr>
  </w:style>
  <w:style w:type="table" w:customStyle="1" w:styleId="table">
    <w:name w:val="table"/>
    <w:basedOn w:val="TableNorma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387</Words>
  <Characters>2133</Characters>
  <Application>Microsoft Office Word</Application>
  <DocSecurity>0</DocSecurity>
  <Lines>17</Lines>
  <Paragraphs>5</Paragraphs>
  <ScaleCrop>false</ScaleCrop>
  <HeadingPairs>
    <vt:vector size="2" baseType="variant">
      <vt:variant>
        <vt:lpstr>Titel</vt:lpstr>
      </vt:variant>
      <vt:variant>
        <vt:i4>1</vt:i4>
      </vt:variant>
    </vt:vector>
  </HeadingPairs>
  <TitlesOfParts>
    <vt:vector size="1" baseType="lpstr">
      <vt:lpstr>CBS Notulen</vt:lpstr>
    </vt:vector>
  </TitlesOfParts>
  <Company/>
  <LinksUpToDate>false</LinksUpToDate>
  <CharactersWithSpaces>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Notulen</dc:title>
  <dc:creator>Evy Van De Putte</dc:creator>
  <cp:lastModifiedBy>Greet De Roo</cp:lastModifiedBy>
  <cp:revision>5</cp:revision>
  <dcterms:created xsi:type="dcterms:W3CDTF">2021-07-13T14:06:00Z</dcterms:created>
  <dcterms:modified xsi:type="dcterms:W3CDTF">2023-07-05T06:41:00Z</dcterms:modified>
</cp:coreProperties>
</file>